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781E" w14:textId="7EED4599" w:rsidR="00C02DDF" w:rsidRPr="008A0C83" w:rsidRDefault="00DA4AE4" w:rsidP="00F959D5">
      <w:pPr>
        <w:pStyle w:val="H1-Heading1"/>
        <w:rPr>
          <w:color w:val="auto"/>
        </w:rPr>
      </w:pPr>
      <w:r w:rsidRPr="008A0C83">
        <w:rPr>
          <w:color w:val="auto"/>
        </w:rPr>
        <w:t>disability equity in investment design</w:t>
      </w:r>
      <w:r w:rsidR="00A01D6E" w:rsidRPr="008A0C83">
        <w:rPr>
          <w:color w:val="auto"/>
        </w:rPr>
        <w:br/>
      </w:r>
      <w:r w:rsidRPr="008A0C83">
        <w:rPr>
          <w:color w:val="auto"/>
        </w:rPr>
        <w:t>good practice note</w:t>
      </w:r>
      <w:r w:rsidR="00146DC1">
        <w:rPr>
          <w:rStyle w:val="FootnoteReference"/>
          <w:color w:val="auto"/>
        </w:rPr>
        <w:footnoteReference w:id="1"/>
      </w:r>
    </w:p>
    <w:p w14:paraId="3AD196BB" w14:textId="44C37620" w:rsidR="001405B7" w:rsidRPr="00574CF8" w:rsidRDefault="00DA4AE4" w:rsidP="00AF7C26">
      <w:pPr>
        <w:pStyle w:val="H2-Heading2"/>
        <w:rPr>
          <w:rFonts w:asciiTheme="minorHAnsi" w:hAnsiTheme="minorHAnsi" w:cstheme="minorHAnsi"/>
          <w:color w:val="auto"/>
        </w:rPr>
      </w:pPr>
      <w:r w:rsidRPr="008A0C83">
        <w:rPr>
          <w:rFonts w:asciiTheme="minorHAnsi" w:hAnsiTheme="minorHAnsi" w:cstheme="minorHAnsi"/>
          <w:color w:val="auto"/>
        </w:rPr>
        <w:t xml:space="preserve">1. </w:t>
      </w:r>
      <w:r w:rsidRPr="00574CF8">
        <w:rPr>
          <w:rFonts w:asciiTheme="minorHAnsi" w:hAnsiTheme="minorHAnsi" w:cstheme="minorHAnsi"/>
          <w:color w:val="auto"/>
        </w:rPr>
        <w:t>Overview</w:t>
      </w:r>
      <w:r w:rsidR="001405B7" w:rsidRPr="00574CF8">
        <w:rPr>
          <w:rFonts w:asciiTheme="minorHAnsi" w:hAnsiTheme="minorHAnsi" w:cstheme="minorHAnsi"/>
          <w:color w:val="auto"/>
        </w:rPr>
        <w:t xml:space="preserve"> </w:t>
      </w:r>
    </w:p>
    <w:p w14:paraId="2CB3AA14" w14:textId="7DC137C4" w:rsidR="00260452" w:rsidRPr="00574CF8" w:rsidRDefault="00C17B4F" w:rsidP="00260452">
      <w:pPr>
        <w:pStyle w:val="BodyCopy"/>
        <w:rPr>
          <w:color w:val="auto"/>
          <w:szCs w:val="22"/>
        </w:rPr>
      </w:pPr>
      <w:r w:rsidRPr="00574CF8">
        <w:rPr>
          <w:color w:val="auto"/>
          <w:szCs w:val="22"/>
        </w:rPr>
        <w:t>Investment design</w:t>
      </w:r>
      <w:r w:rsidR="002165E1" w:rsidRPr="00574CF8">
        <w:rPr>
          <w:color w:val="auto"/>
          <w:szCs w:val="22"/>
        </w:rPr>
        <w:t xml:space="preserve"> is</w:t>
      </w:r>
      <w:r w:rsidRPr="00574CF8">
        <w:rPr>
          <w:color w:val="auto"/>
          <w:szCs w:val="22"/>
        </w:rPr>
        <w:t xml:space="preserve"> a </w:t>
      </w:r>
      <w:r w:rsidR="002165E1" w:rsidRPr="00574CF8">
        <w:rPr>
          <w:color w:val="auto"/>
          <w:szCs w:val="22"/>
        </w:rPr>
        <w:t>critical</w:t>
      </w:r>
      <w:r w:rsidRPr="00574CF8">
        <w:rPr>
          <w:color w:val="auto"/>
          <w:szCs w:val="22"/>
        </w:rPr>
        <w:t xml:space="preserve"> enabler </w:t>
      </w:r>
      <w:r w:rsidR="002165E1" w:rsidRPr="00574CF8">
        <w:rPr>
          <w:color w:val="auto"/>
          <w:szCs w:val="22"/>
        </w:rPr>
        <w:t>of</w:t>
      </w:r>
      <w:r w:rsidR="00226666" w:rsidRPr="00574CF8">
        <w:rPr>
          <w:color w:val="auto"/>
          <w:szCs w:val="22"/>
        </w:rPr>
        <w:t xml:space="preserve"> disability equity and rights</w:t>
      </w:r>
      <w:r w:rsidR="00651D0F" w:rsidRPr="00574CF8">
        <w:rPr>
          <w:color w:val="auto"/>
          <w:szCs w:val="22"/>
        </w:rPr>
        <w:t xml:space="preserve"> </w:t>
      </w:r>
      <w:r w:rsidR="002165E1" w:rsidRPr="00574CF8">
        <w:rPr>
          <w:color w:val="auto"/>
          <w:szCs w:val="22"/>
        </w:rPr>
        <w:t>across development program</w:t>
      </w:r>
      <w:r w:rsidR="0012308E" w:rsidRPr="00574CF8">
        <w:rPr>
          <w:color w:val="auto"/>
          <w:szCs w:val="22"/>
        </w:rPr>
        <w:t>s</w:t>
      </w:r>
      <w:r w:rsidR="00226666" w:rsidRPr="00574CF8">
        <w:rPr>
          <w:color w:val="auto"/>
          <w:szCs w:val="22"/>
        </w:rPr>
        <w:t xml:space="preserve">. </w:t>
      </w:r>
      <w:r w:rsidR="00260452" w:rsidRPr="00574CF8">
        <w:rPr>
          <w:color w:val="auto"/>
          <w:szCs w:val="22"/>
        </w:rPr>
        <w:t xml:space="preserve">This Good Practice Note helps program managers </w:t>
      </w:r>
      <w:r w:rsidR="00465A03" w:rsidRPr="00574CF8">
        <w:rPr>
          <w:color w:val="auto"/>
          <w:szCs w:val="22"/>
        </w:rPr>
        <w:t xml:space="preserve">and design teams </w:t>
      </w:r>
      <w:r w:rsidR="00260452" w:rsidRPr="00574CF8">
        <w:rPr>
          <w:color w:val="auto"/>
          <w:szCs w:val="22"/>
        </w:rPr>
        <w:t xml:space="preserve">to </w:t>
      </w:r>
      <w:r w:rsidR="002165E1" w:rsidRPr="00574CF8">
        <w:rPr>
          <w:color w:val="auto"/>
          <w:szCs w:val="22"/>
        </w:rPr>
        <w:t>embed</w:t>
      </w:r>
      <w:r w:rsidR="00260452" w:rsidRPr="00574CF8">
        <w:rPr>
          <w:color w:val="auto"/>
          <w:szCs w:val="22"/>
        </w:rPr>
        <w:t xml:space="preserve"> disability equity and rights in investment designs</w:t>
      </w:r>
      <w:r w:rsidR="002165E1" w:rsidRPr="00574CF8">
        <w:rPr>
          <w:color w:val="auto"/>
          <w:szCs w:val="22"/>
        </w:rPr>
        <w:t xml:space="preserve">, </w:t>
      </w:r>
      <w:r w:rsidR="00157854" w:rsidRPr="00574CF8">
        <w:rPr>
          <w:color w:val="auto"/>
          <w:szCs w:val="22"/>
        </w:rPr>
        <w:t xml:space="preserve">aligned </w:t>
      </w:r>
      <w:r w:rsidR="00260452" w:rsidRPr="00574CF8">
        <w:rPr>
          <w:color w:val="auto"/>
          <w:szCs w:val="22"/>
        </w:rPr>
        <w:t xml:space="preserve">with </w:t>
      </w:r>
      <w:r w:rsidR="00465A03" w:rsidRPr="00574CF8">
        <w:rPr>
          <w:color w:val="auto"/>
          <w:szCs w:val="22"/>
        </w:rPr>
        <w:t xml:space="preserve">DFAT’s </w:t>
      </w:r>
      <w:hyperlink r:id="rId11" w:history="1">
        <w:r w:rsidR="00260452" w:rsidRPr="00574CF8">
          <w:rPr>
            <w:rStyle w:val="Hyperlink"/>
            <w:color w:val="auto"/>
            <w:szCs w:val="22"/>
          </w:rPr>
          <w:t>International Development Programming Guide</w:t>
        </w:r>
      </w:hyperlink>
      <w:r w:rsidR="00260452" w:rsidRPr="00574CF8">
        <w:rPr>
          <w:color w:val="auto"/>
          <w:szCs w:val="22"/>
        </w:rPr>
        <w:t xml:space="preserve">. </w:t>
      </w:r>
    </w:p>
    <w:p w14:paraId="39FD165F" w14:textId="480096C1" w:rsidR="00A80231" w:rsidRPr="00574CF8" w:rsidRDefault="004D57F8" w:rsidP="00A80231">
      <w:pPr>
        <w:pStyle w:val="BodyCopy"/>
        <w:rPr>
          <w:color w:val="auto"/>
          <w:szCs w:val="22"/>
        </w:rPr>
      </w:pPr>
      <w:hyperlink r:id="rId12" w:history="1">
        <w:r w:rsidRPr="00574CF8">
          <w:rPr>
            <w:rStyle w:val="Hyperlink"/>
            <w:color w:val="auto"/>
            <w:szCs w:val="22"/>
          </w:rPr>
          <w:t>Australia’s International Disability Equity and Rights Strategy</w:t>
        </w:r>
      </w:hyperlink>
      <w:r w:rsidRPr="00574CF8">
        <w:rPr>
          <w:color w:val="auto"/>
          <w:szCs w:val="22"/>
        </w:rPr>
        <w:t xml:space="preserve"> </w:t>
      </w:r>
      <w:r w:rsidR="00A80231" w:rsidRPr="00574CF8">
        <w:rPr>
          <w:color w:val="auto"/>
          <w:szCs w:val="22"/>
        </w:rPr>
        <w:t xml:space="preserve">(IDEARS) </w:t>
      </w:r>
      <w:r w:rsidR="00301266" w:rsidRPr="00574CF8">
        <w:rPr>
          <w:color w:val="auto"/>
          <w:szCs w:val="22"/>
        </w:rPr>
        <w:t xml:space="preserve">commits </w:t>
      </w:r>
      <w:r w:rsidR="00157854" w:rsidRPr="00574CF8">
        <w:rPr>
          <w:color w:val="auto"/>
          <w:szCs w:val="22"/>
        </w:rPr>
        <w:t>to working</w:t>
      </w:r>
      <w:r w:rsidR="00621232" w:rsidRPr="00574CF8">
        <w:rPr>
          <w:color w:val="auto"/>
          <w:szCs w:val="22"/>
        </w:rPr>
        <w:t xml:space="preserve"> with people with disability </w:t>
      </w:r>
      <w:r w:rsidR="002165E1" w:rsidRPr="00574CF8">
        <w:rPr>
          <w:color w:val="auto"/>
          <w:szCs w:val="22"/>
        </w:rPr>
        <w:t>through</w:t>
      </w:r>
      <w:r w:rsidR="00157854" w:rsidRPr="00574CF8">
        <w:rPr>
          <w:color w:val="auto"/>
          <w:szCs w:val="22"/>
        </w:rPr>
        <w:t>out</w:t>
      </w:r>
      <w:r w:rsidR="002165E1" w:rsidRPr="00574CF8">
        <w:rPr>
          <w:color w:val="auto"/>
          <w:szCs w:val="22"/>
        </w:rPr>
        <w:t xml:space="preserve"> the program cycle</w:t>
      </w:r>
      <w:r w:rsidR="002B1FEF" w:rsidRPr="00574CF8">
        <w:rPr>
          <w:color w:val="auto"/>
          <w:szCs w:val="22"/>
        </w:rPr>
        <w:t xml:space="preserve">, including design. </w:t>
      </w:r>
      <w:r w:rsidR="002165E1" w:rsidRPr="00574CF8">
        <w:rPr>
          <w:color w:val="auto"/>
          <w:szCs w:val="22"/>
        </w:rPr>
        <w:t>It</w:t>
      </w:r>
      <w:r w:rsidR="00A80231" w:rsidRPr="00574CF8">
        <w:rPr>
          <w:color w:val="auto"/>
          <w:szCs w:val="22"/>
        </w:rPr>
        <w:t xml:space="preserve"> emphasises local leadership and decision-making</w:t>
      </w:r>
      <w:r w:rsidR="002165E1" w:rsidRPr="00574CF8">
        <w:rPr>
          <w:color w:val="auto"/>
          <w:szCs w:val="22"/>
        </w:rPr>
        <w:t xml:space="preserve">, recognising that early engagement with </w:t>
      </w:r>
      <w:r w:rsidR="00A80231" w:rsidRPr="00574CF8">
        <w:rPr>
          <w:color w:val="auto"/>
          <w:szCs w:val="22"/>
        </w:rPr>
        <w:t xml:space="preserve">people with disability and their representative organisations </w:t>
      </w:r>
      <w:r w:rsidR="002165E1" w:rsidRPr="00574CF8">
        <w:rPr>
          <w:color w:val="auto"/>
          <w:szCs w:val="22"/>
        </w:rPr>
        <w:t>strengthens</w:t>
      </w:r>
      <w:r w:rsidR="00A80231" w:rsidRPr="00574CF8">
        <w:rPr>
          <w:color w:val="auto"/>
          <w:szCs w:val="22"/>
        </w:rPr>
        <w:t xml:space="preserve"> co-design, local ownership, and </w:t>
      </w:r>
      <w:r w:rsidR="00157854" w:rsidRPr="00574CF8">
        <w:rPr>
          <w:color w:val="auto"/>
          <w:szCs w:val="22"/>
        </w:rPr>
        <w:t>long-term impact</w:t>
      </w:r>
      <w:r w:rsidR="00A80231" w:rsidRPr="00574CF8">
        <w:rPr>
          <w:color w:val="auto"/>
          <w:szCs w:val="22"/>
        </w:rPr>
        <w:t>.</w:t>
      </w:r>
      <w:r w:rsidR="0012582D" w:rsidRPr="00574CF8">
        <w:rPr>
          <w:color w:val="auto"/>
          <w:szCs w:val="22"/>
        </w:rPr>
        <w:t xml:space="preserve"> </w:t>
      </w:r>
      <w:r w:rsidR="00157854" w:rsidRPr="00574CF8">
        <w:rPr>
          <w:color w:val="auto"/>
          <w:szCs w:val="22"/>
        </w:rPr>
        <w:t>To be effective, investments must</w:t>
      </w:r>
      <w:r w:rsidR="0012582D" w:rsidRPr="00574CF8">
        <w:rPr>
          <w:color w:val="auto"/>
          <w:szCs w:val="22"/>
        </w:rPr>
        <w:t xml:space="preserve"> </w:t>
      </w:r>
      <w:r w:rsidR="00157854" w:rsidRPr="00574CF8">
        <w:rPr>
          <w:color w:val="auto"/>
          <w:szCs w:val="22"/>
        </w:rPr>
        <w:t>be</w:t>
      </w:r>
      <w:r w:rsidR="0012582D" w:rsidRPr="00574CF8">
        <w:rPr>
          <w:color w:val="auto"/>
          <w:szCs w:val="22"/>
        </w:rPr>
        <w:t xml:space="preserve"> informed by diverse and underrepresented people with disability, </w:t>
      </w:r>
      <w:r w:rsidR="002165E1" w:rsidRPr="00574CF8">
        <w:rPr>
          <w:color w:val="auto"/>
        </w:rPr>
        <w:t>including</w:t>
      </w:r>
      <w:r w:rsidR="0012582D" w:rsidRPr="00574CF8">
        <w:rPr>
          <w:color w:val="auto"/>
        </w:rPr>
        <w:t xml:space="preserve"> Deaf people, people with diverse sexual orientation or gender identity,</w:t>
      </w:r>
      <w:r w:rsidR="0012308E" w:rsidRPr="00574CF8">
        <w:rPr>
          <w:color w:val="auto"/>
        </w:rPr>
        <w:t xml:space="preserve"> and</w:t>
      </w:r>
      <w:r w:rsidR="0012582D" w:rsidRPr="00574CF8">
        <w:rPr>
          <w:color w:val="auto"/>
        </w:rPr>
        <w:t xml:space="preserve"> psychosocial or intellectual disabilities</w:t>
      </w:r>
      <w:r w:rsidR="0012582D" w:rsidRPr="00574CF8">
        <w:rPr>
          <w:color w:val="auto"/>
          <w:szCs w:val="22"/>
        </w:rPr>
        <w:t>.</w:t>
      </w:r>
    </w:p>
    <w:p w14:paraId="16DE3AAB" w14:textId="4BB0F242" w:rsidR="005207A8" w:rsidRPr="00574CF8" w:rsidRDefault="002165E1" w:rsidP="00192958">
      <w:pPr>
        <w:pStyle w:val="BodyCopy"/>
        <w:rPr>
          <w:color w:val="auto"/>
          <w:szCs w:val="22"/>
        </w:rPr>
      </w:pPr>
      <w:r w:rsidRPr="00574CF8">
        <w:rPr>
          <w:color w:val="auto"/>
          <w:szCs w:val="22"/>
        </w:rPr>
        <w:t xml:space="preserve">To support </w:t>
      </w:r>
      <w:r w:rsidR="00157854" w:rsidRPr="00574CF8">
        <w:rPr>
          <w:color w:val="auto"/>
          <w:szCs w:val="22"/>
        </w:rPr>
        <w:t>this</w:t>
      </w:r>
      <w:r w:rsidRPr="00574CF8">
        <w:rPr>
          <w:color w:val="auto"/>
          <w:szCs w:val="22"/>
        </w:rPr>
        <w:t xml:space="preserve"> commitment,</w:t>
      </w:r>
      <w:r w:rsidR="0012582D" w:rsidRPr="00574CF8">
        <w:rPr>
          <w:color w:val="auto"/>
          <w:szCs w:val="22"/>
        </w:rPr>
        <w:t xml:space="preserve"> Australia has </w:t>
      </w:r>
      <w:r w:rsidRPr="00574CF8">
        <w:rPr>
          <w:color w:val="auto"/>
          <w:szCs w:val="22"/>
        </w:rPr>
        <w:t>set</w:t>
      </w:r>
      <w:r w:rsidR="0012582D" w:rsidRPr="00574CF8">
        <w:rPr>
          <w:color w:val="auto"/>
          <w:szCs w:val="22"/>
        </w:rPr>
        <w:t xml:space="preserve"> performance target</w:t>
      </w:r>
      <w:r w:rsidRPr="00574CF8">
        <w:rPr>
          <w:color w:val="auto"/>
          <w:szCs w:val="22"/>
        </w:rPr>
        <w:t>s</w:t>
      </w:r>
      <w:r w:rsidR="0012582D" w:rsidRPr="00574CF8">
        <w:rPr>
          <w:color w:val="auto"/>
          <w:szCs w:val="22"/>
        </w:rPr>
        <w:t xml:space="preserve"> for</w:t>
      </w:r>
      <w:r w:rsidR="00157854" w:rsidRPr="00574CF8">
        <w:rPr>
          <w:color w:val="auto"/>
          <w:szCs w:val="22"/>
        </w:rPr>
        <w:t xml:space="preserve"> disability equity in</w:t>
      </w:r>
      <w:r w:rsidR="0012582D" w:rsidRPr="00574CF8">
        <w:rPr>
          <w:color w:val="auto"/>
          <w:szCs w:val="22"/>
        </w:rPr>
        <w:t xml:space="preserve"> international development investments – 60 per cent perform</w:t>
      </w:r>
      <w:r w:rsidRPr="00574CF8">
        <w:rPr>
          <w:color w:val="auto"/>
          <w:szCs w:val="22"/>
        </w:rPr>
        <w:t>ing</w:t>
      </w:r>
      <w:r w:rsidR="0012582D" w:rsidRPr="00574CF8">
        <w:rPr>
          <w:color w:val="auto"/>
          <w:szCs w:val="22"/>
        </w:rPr>
        <w:t xml:space="preserve"> effectively by 2026, and 70 per cent by 2030. </w:t>
      </w:r>
      <w:r w:rsidRPr="00574CF8">
        <w:rPr>
          <w:color w:val="auto"/>
          <w:szCs w:val="22"/>
        </w:rPr>
        <w:t>Embedding disability equity early in the design process</w:t>
      </w:r>
      <w:r w:rsidR="00157854" w:rsidRPr="00574CF8">
        <w:rPr>
          <w:color w:val="auto"/>
          <w:szCs w:val="22"/>
        </w:rPr>
        <w:t xml:space="preserve"> </w:t>
      </w:r>
      <w:r w:rsidRPr="00574CF8">
        <w:rPr>
          <w:color w:val="auto"/>
          <w:szCs w:val="22"/>
        </w:rPr>
        <w:t xml:space="preserve">is critical to </w:t>
      </w:r>
      <w:r w:rsidR="00157854" w:rsidRPr="00574CF8">
        <w:rPr>
          <w:color w:val="auto"/>
          <w:szCs w:val="22"/>
        </w:rPr>
        <w:t>meeting</w:t>
      </w:r>
      <w:r w:rsidRPr="00574CF8">
        <w:rPr>
          <w:color w:val="auto"/>
          <w:szCs w:val="22"/>
        </w:rPr>
        <w:t xml:space="preserve"> these targets and delivering </w:t>
      </w:r>
      <w:r w:rsidR="0012582D" w:rsidRPr="00574CF8">
        <w:rPr>
          <w:color w:val="auto"/>
          <w:szCs w:val="22"/>
        </w:rPr>
        <w:t>sustainable, equitable outcomes.</w:t>
      </w:r>
    </w:p>
    <w:p w14:paraId="66B7A596" w14:textId="376843AB" w:rsidR="00DA4AE4" w:rsidRPr="00574CF8" w:rsidRDefault="00DA4AE4" w:rsidP="00DA4AE4">
      <w:pPr>
        <w:pStyle w:val="H2-Heading2"/>
        <w:rPr>
          <w:rFonts w:asciiTheme="minorHAnsi" w:hAnsiTheme="minorHAnsi" w:cstheme="minorHAnsi"/>
          <w:color w:val="auto"/>
        </w:rPr>
      </w:pPr>
      <w:r w:rsidRPr="00574CF8">
        <w:rPr>
          <w:rFonts w:asciiTheme="minorHAnsi" w:hAnsiTheme="minorHAnsi" w:cstheme="minorHAnsi"/>
          <w:color w:val="auto"/>
        </w:rPr>
        <w:t xml:space="preserve">2. </w:t>
      </w:r>
      <w:r w:rsidR="00C14933" w:rsidRPr="00574CF8">
        <w:rPr>
          <w:rFonts w:asciiTheme="minorHAnsi" w:hAnsiTheme="minorHAnsi" w:cstheme="minorHAnsi"/>
          <w:color w:val="auto"/>
        </w:rPr>
        <w:t xml:space="preserve">key elements for </w:t>
      </w:r>
      <w:r w:rsidRPr="00574CF8">
        <w:rPr>
          <w:rFonts w:asciiTheme="minorHAnsi" w:hAnsiTheme="minorHAnsi" w:cstheme="minorHAnsi"/>
          <w:color w:val="auto"/>
        </w:rPr>
        <w:t>disability equity in design</w:t>
      </w:r>
      <w:r w:rsidR="007231AE" w:rsidRPr="00574CF8">
        <w:rPr>
          <w:rFonts w:asciiTheme="minorHAnsi" w:hAnsiTheme="minorHAnsi" w:cstheme="minorHAnsi"/>
          <w:color w:val="auto"/>
        </w:rPr>
        <w:t xml:space="preserve"> </w:t>
      </w:r>
      <w:r w:rsidRPr="00574CF8">
        <w:rPr>
          <w:rFonts w:asciiTheme="minorHAnsi" w:hAnsiTheme="minorHAnsi" w:cstheme="minorHAnsi"/>
          <w:color w:val="auto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574CF8" w:rsidRPr="00574CF8" w14:paraId="0A8C9EF2" w14:textId="77777777" w:rsidTr="00DA4AE4">
        <w:trPr>
          <w:trHeight w:val="70"/>
        </w:trPr>
        <w:tc>
          <w:tcPr>
            <w:tcW w:w="9351" w:type="dxa"/>
            <w:shd w:val="clear" w:color="auto" w:fill="E7E6E6" w:themeFill="background2"/>
          </w:tcPr>
          <w:p w14:paraId="31E3C86C" w14:textId="3C5B3D9B" w:rsidR="00DA4AE4" w:rsidRPr="00574CF8" w:rsidRDefault="00DA4AE4" w:rsidP="00E1763D">
            <w:pPr>
              <w:pStyle w:val="TableHeading"/>
              <w:spacing w:before="60" w:after="0"/>
              <w:rPr>
                <w:color w:val="auto"/>
              </w:rPr>
            </w:pPr>
            <w:r w:rsidRPr="00574CF8">
              <w:rPr>
                <w:color w:val="auto"/>
              </w:rPr>
              <w:t>Concept Preparation</w:t>
            </w:r>
          </w:p>
        </w:tc>
      </w:tr>
      <w:tr w:rsidR="00574CF8" w:rsidRPr="00574CF8" w14:paraId="30E4983D" w14:textId="77777777" w:rsidTr="00DA4AE4">
        <w:tc>
          <w:tcPr>
            <w:tcW w:w="9351" w:type="dxa"/>
          </w:tcPr>
          <w:p w14:paraId="5AF22A84" w14:textId="3F55B41B" w:rsidR="0049004A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Has </w:t>
            </w:r>
            <w:r w:rsidR="0049004A" w:rsidRPr="00574CF8">
              <w:rPr>
                <w:color w:val="auto"/>
                <w:lang w:val="en-US"/>
              </w:rPr>
              <w:t>disability</w:t>
            </w:r>
            <w:r w:rsidRPr="00574CF8">
              <w:rPr>
                <w:color w:val="auto"/>
                <w:lang w:val="en-US"/>
              </w:rPr>
              <w:t xml:space="preserve"> analysis informed the investment concept?</w:t>
            </w:r>
            <w:r w:rsidR="0049004A" w:rsidRPr="00574CF8">
              <w:rPr>
                <w:color w:val="auto"/>
                <w:lang w:val="en-US"/>
              </w:rPr>
              <w:t xml:space="preserve"> This</w:t>
            </w:r>
            <w:r w:rsidR="004C3ECA" w:rsidRPr="00574CF8">
              <w:rPr>
                <w:color w:val="auto"/>
                <w:lang w:val="en-US"/>
              </w:rPr>
              <w:t xml:space="preserve"> can</w:t>
            </w:r>
            <w:r w:rsidR="0049004A" w:rsidRPr="00574CF8">
              <w:rPr>
                <w:color w:val="auto"/>
                <w:lang w:val="en-US"/>
              </w:rPr>
              <w:t xml:space="preserve"> include disability issues identified through e.g. </w:t>
            </w:r>
            <w:r w:rsidR="005975AC" w:rsidRPr="00574CF8">
              <w:rPr>
                <w:color w:val="auto"/>
                <w:lang w:val="en-US"/>
              </w:rPr>
              <w:t xml:space="preserve">intersectional </w:t>
            </w:r>
            <w:r w:rsidR="0049004A" w:rsidRPr="00574CF8">
              <w:rPr>
                <w:color w:val="auto"/>
                <w:lang w:val="en-US"/>
              </w:rPr>
              <w:t>GEDSI analysis, political economy analysis, social safeguarding assessments or other disability-related research or reviews.</w:t>
            </w:r>
          </w:p>
          <w:p w14:paraId="5299B264" w14:textId="6E7EAC5D" w:rsidR="00027639" w:rsidRPr="00574CF8" w:rsidRDefault="00027639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concept identify </w:t>
            </w:r>
            <w:r w:rsidR="0067560F" w:rsidRPr="00574CF8">
              <w:rPr>
                <w:color w:val="auto"/>
                <w:lang w:val="en-US"/>
              </w:rPr>
              <w:t xml:space="preserve">disability equity </w:t>
            </w:r>
            <w:r w:rsidR="006F25BB" w:rsidRPr="00574CF8">
              <w:rPr>
                <w:color w:val="auto"/>
                <w:lang w:val="en-US"/>
              </w:rPr>
              <w:t>challenges</w:t>
            </w:r>
            <w:r w:rsidR="0067560F" w:rsidRPr="00574CF8">
              <w:rPr>
                <w:color w:val="auto"/>
                <w:lang w:val="en-US"/>
              </w:rPr>
              <w:t xml:space="preserve">, including those related to intersectional disadvantage, to be explored </w:t>
            </w:r>
            <w:r w:rsidR="006F25BB" w:rsidRPr="00574CF8">
              <w:rPr>
                <w:color w:val="auto"/>
                <w:lang w:val="en-US"/>
              </w:rPr>
              <w:t>in</w:t>
            </w:r>
            <w:r w:rsidR="0067560F" w:rsidRPr="00574CF8">
              <w:rPr>
                <w:color w:val="auto"/>
                <w:lang w:val="en-US"/>
              </w:rPr>
              <w:t xml:space="preserve"> the design phase?</w:t>
            </w:r>
          </w:p>
          <w:p w14:paraId="434FA9DD" w14:textId="77777777" w:rsidR="004A6A81" w:rsidRPr="00574CF8" w:rsidRDefault="004A6A81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Were diverse people with </w:t>
            </w:r>
            <w:r w:rsidRPr="00574CF8">
              <w:rPr>
                <w:color w:val="auto"/>
              </w:rPr>
              <w:t>disability</w:t>
            </w:r>
            <w:r w:rsidRPr="00574CF8">
              <w:rPr>
                <w:color w:val="auto"/>
                <w:lang w:val="en-US"/>
              </w:rPr>
              <w:t xml:space="preserve"> and/or OPDs consulted in defining the development problem?</w:t>
            </w:r>
          </w:p>
          <w:p w14:paraId="58C8A16B" w14:textId="5C9AB250" w:rsidR="00192958" w:rsidRPr="00574CF8" w:rsidRDefault="0012308E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Did a </w:t>
            </w:r>
            <w:r w:rsidR="00192958" w:rsidRPr="00574CF8">
              <w:rPr>
                <w:color w:val="auto"/>
                <w:lang w:val="en-US"/>
              </w:rPr>
              <w:t>disability</w:t>
            </w:r>
            <w:r w:rsidRPr="00574CF8">
              <w:rPr>
                <w:color w:val="auto"/>
                <w:lang w:val="en-US"/>
              </w:rPr>
              <w:t xml:space="preserve"> specialist contribute to</w:t>
            </w:r>
            <w:r w:rsidR="00192958" w:rsidRPr="00574CF8">
              <w:rPr>
                <w:color w:val="auto"/>
                <w:lang w:val="en-US"/>
              </w:rPr>
              <w:t xml:space="preserve"> the </w:t>
            </w:r>
            <w:r w:rsidR="00157854" w:rsidRPr="00574CF8">
              <w:rPr>
                <w:color w:val="auto"/>
                <w:lang w:val="en-US"/>
              </w:rPr>
              <w:t>concept</w:t>
            </w:r>
            <w:r w:rsidR="00192958" w:rsidRPr="00574CF8">
              <w:rPr>
                <w:color w:val="auto"/>
                <w:lang w:val="en-US"/>
              </w:rPr>
              <w:t>?</w:t>
            </w:r>
            <w:r w:rsidR="00506C66" w:rsidRPr="00574CF8">
              <w:rPr>
                <w:color w:val="auto"/>
                <w:lang w:val="en-US"/>
              </w:rPr>
              <w:t xml:space="preserve"> </w:t>
            </w:r>
            <w:r w:rsidR="00157854" w:rsidRPr="00574CF8">
              <w:rPr>
                <w:color w:val="auto"/>
                <w:lang w:val="en-US"/>
              </w:rPr>
              <w:t>(</w:t>
            </w:r>
            <w:r w:rsidR="00F4177A" w:rsidRPr="00574CF8">
              <w:rPr>
                <w:color w:val="auto"/>
                <w:lang w:val="en-US"/>
              </w:rPr>
              <w:t>DFAT staff</w:t>
            </w:r>
            <w:r w:rsidR="00506C66" w:rsidRPr="00574CF8">
              <w:rPr>
                <w:color w:val="auto"/>
                <w:lang w:val="en-US"/>
              </w:rPr>
              <w:t xml:space="preserve"> can request a review of the draft Concept Note by disability advisors.</w:t>
            </w:r>
            <w:r w:rsidR="00157854" w:rsidRPr="00574CF8">
              <w:rPr>
                <w:color w:val="auto"/>
                <w:lang w:val="en-US"/>
              </w:rPr>
              <w:t>)</w:t>
            </w:r>
            <w:r w:rsidR="00506C66" w:rsidRPr="00574CF8">
              <w:rPr>
                <w:color w:val="auto"/>
                <w:lang w:val="en-US"/>
              </w:rPr>
              <w:t xml:space="preserve"> </w:t>
            </w:r>
          </w:p>
          <w:p w14:paraId="5F8B903D" w14:textId="29B7D19E" w:rsidR="00847150" w:rsidRPr="00574CF8" w:rsidRDefault="00781BDA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Do</w:t>
            </w:r>
            <w:r w:rsidR="00192958" w:rsidRPr="00574CF8">
              <w:rPr>
                <w:color w:val="auto"/>
                <w:lang w:val="en-US"/>
              </w:rPr>
              <w:t xml:space="preserve"> indicative </w:t>
            </w:r>
            <w:r w:rsidR="004A6A81" w:rsidRPr="00574CF8">
              <w:rPr>
                <w:color w:val="auto"/>
                <w:lang w:val="en-US"/>
              </w:rPr>
              <w:t xml:space="preserve">program </w:t>
            </w:r>
            <w:r w:rsidR="00192958" w:rsidRPr="00574CF8">
              <w:rPr>
                <w:color w:val="auto"/>
                <w:lang w:val="en-US"/>
              </w:rPr>
              <w:t>outcomes</w:t>
            </w:r>
            <w:r w:rsidR="0001674D" w:rsidRPr="00574CF8">
              <w:rPr>
                <w:color w:val="auto"/>
                <w:lang w:val="en-US"/>
              </w:rPr>
              <w:t xml:space="preserve"> (End of Program or Intermediate)</w:t>
            </w:r>
            <w:r w:rsidR="00192958" w:rsidRPr="00574CF8">
              <w:rPr>
                <w:color w:val="auto"/>
                <w:lang w:val="en-US"/>
              </w:rPr>
              <w:t xml:space="preserve"> </w:t>
            </w:r>
            <w:r w:rsidR="005975AC" w:rsidRPr="00574CF8">
              <w:rPr>
                <w:color w:val="auto"/>
                <w:lang w:val="en-US"/>
              </w:rPr>
              <w:t xml:space="preserve">explicitly </w:t>
            </w:r>
            <w:r w:rsidR="0012308E" w:rsidRPr="00574CF8">
              <w:rPr>
                <w:color w:val="auto"/>
                <w:lang w:val="en-US"/>
              </w:rPr>
              <w:t xml:space="preserve">address </w:t>
            </w:r>
            <w:r w:rsidR="00192958" w:rsidRPr="00574CF8">
              <w:rPr>
                <w:color w:val="auto"/>
                <w:lang w:val="en-US"/>
              </w:rPr>
              <w:t>disability equity</w:t>
            </w:r>
            <w:r w:rsidR="00157854" w:rsidRPr="00574CF8">
              <w:rPr>
                <w:color w:val="auto"/>
                <w:lang w:val="en-US"/>
              </w:rPr>
              <w:t>?</w:t>
            </w:r>
          </w:p>
          <w:p w14:paraId="0843ECEB" w14:textId="47B72B7F" w:rsidR="00A30CF3" w:rsidRPr="00574CF8" w:rsidRDefault="00A30CF3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Is the OECD DAC marker</w:t>
            </w:r>
            <w:r w:rsidR="00CC39F4" w:rsidRPr="00574CF8">
              <w:rPr>
                <w:color w:val="auto"/>
                <w:lang w:val="en-US"/>
              </w:rPr>
              <w:t xml:space="preserve"> for disability included in the narrative?</w:t>
            </w:r>
            <w:r w:rsidRPr="00574CF8">
              <w:rPr>
                <w:color w:val="auto"/>
                <w:lang w:val="en-US"/>
              </w:rPr>
              <w:t xml:space="preserve"> </w:t>
            </w:r>
          </w:p>
        </w:tc>
      </w:tr>
      <w:tr w:rsidR="00574CF8" w:rsidRPr="00574CF8" w14:paraId="18C73302" w14:textId="77777777" w:rsidTr="00E600CC">
        <w:trPr>
          <w:trHeight w:val="328"/>
        </w:trPr>
        <w:tc>
          <w:tcPr>
            <w:tcW w:w="9351" w:type="dxa"/>
            <w:shd w:val="clear" w:color="auto" w:fill="E7E6E6" w:themeFill="background2"/>
          </w:tcPr>
          <w:p w14:paraId="4A5778EF" w14:textId="696D3251" w:rsidR="00DA4AE4" w:rsidRPr="00574CF8" w:rsidRDefault="00DA4AE4" w:rsidP="00541F33">
            <w:pPr>
              <w:spacing w:before="100" w:after="0"/>
              <w:rPr>
                <w:color w:val="auto"/>
              </w:rPr>
            </w:pPr>
            <w:r w:rsidRPr="00574CF8">
              <w:rPr>
                <w:b/>
                <w:bCs/>
                <w:color w:val="auto"/>
              </w:rPr>
              <w:t>Design</w:t>
            </w:r>
          </w:p>
        </w:tc>
      </w:tr>
      <w:tr w:rsidR="00574CF8" w:rsidRPr="00574CF8" w14:paraId="00DBC4D1" w14:textId="77777777" w:rsidTr="00502F65">
        <w:tc>
          <w:tcPr>
            <w:tcW w:w="9351" w:type="dxa"/>
          </w:tcPr>
          <w:p w14:paraId="642547DA" w14:textId="616919D8" w:rsidR="00845CE5" w:rsidRPr="00574CF8" w:rsidRDefault="004669A5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Has</w:t>
            </w:r>
            <w:r w:rsidR="00F63EA5" w:rsidRPr="00574CF8">
              <w:rPr>
                <w:color w:val="auto"/>
                <w:lang w:val="en-US"/>
              </w:rPr>
              <w:t xml:space="preserve"> a disability analysis (which may be part of a GEDSI analysis)</w:t>
            </w:r>
            <w:r w:rsidR="0001674D" w:rsidRPr="00574CF8">
              <w:rPr>
                <w:color w:val="auto"/>
                <w:lang w:val="en-US"/>
              </w:rPr>
              <w:t xml:space="preserve"> involving </w:t>
            </w:r>
            <w:r w:rsidR="007D55E1" w:rsidRPr="00574CF8">
              <w:rPr>
                <w:color w:val="auto"/>
                <w:lang w:val="en-US"/>
              </w:rPr>
              <w:t>diverse people with disability</w:t>
            </w:r>
            <w:r w:rsidR="003A68D8" w:rsidRPr="00574CF8">
              <w:rPr>
                <w:color w:val="auto"/>
                <w:lang w:val="en-US"/>
              </w:rPr>
              <w:t xml:space="preserve"> and</w:t>
            </w:r>
            <w:r w:rsidR="007D55E1" w:rsidRPr="00574CF8">
              <w:rPr>
                <w:color w:val="auto"/>
                <w:lang w:val="en-US"/>
              </w:rPr>
              <w:t xml:space="preserve"> </w:t>
            </w:r>
            <w:r w:rsidRPr="00574CF8">
              <w:rPr>
                <w:color w:val="auto"/>
                <w:lang w:val="en-US"/>
              </w:rPr>
              <w:t>identifying key</w:t>
            </w:r>
            <w:r w:rsidR="007D55E1" w:rsidRPr="00574CF8">
              <w:rPr>
                <w:color w:val="auto"/>
                <w:lang w:val="en-US"/>
              </w:rPr>
              <w:t xml:space="preserve"> barriers and opportunities</w:t>
            </w:r>
            <w:r w:rsidR="0001674D" w:rsidRPr="00574CF8">
              <w:rPr>
                <w:color w:val="auto"/>
                <w:lang w:val="en-US"/>
              </w:rPr>
              <w:t xml:space="preserve"> informed the design</w:t>
            </w:r>
            <w:r w:rsidRPr="00574CF8">
              <w:rPr>
                <w:color w:val="auto"/>
                <w:lang w:val="en-US"/>
              </w:rPr>
              <w:t>?</w:t>
            </w:r>
            <w:r w:rsidR="003A68D8" w:rsidRPr="00574CF8">
              <w:rPr>
                <w:color w:val="auto"/>
                <w:lang w:val="en-US"/>
              </w:rPr>
              <w:t xml:space="preserve"> </w:t>
            </w:r>
          </w:p>
          <w:p w14:paraId="2AF017B4" w14:textId="5781FDFE" w:rsidR="00192958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Was disability expertise used</w:t>
            </w:r>
            <w:r w:rsidR="0049004A" w:rsidRPr="00574CF8">
              <w:rPr>
                <w:color w:val="auto"/>
                <w:lang w:val="en-US"/>
              </w:rPr>
              <w:t xml:space="preserve"> during stakeholder engagement and</w:t>
            </w:r>
            <w:r w:rsidRPr="00574CF8">
              <w:rPr>
                <w:color w:val="auto"/>
                <w:lang w:val="en-US"/>
              </w:rPr>
              <w:t xml:space="preserve"> </w:t>
            </w:r>
            <w:r w:rsidR="004669A5" w:rsidRPr="00574CF8">
              <w:rPr>
                <w:color w:val="auto"/>
                <w:lang w:val="en-US"/>
              </w:rPr>
              <w:t>design</w:t>
            </w:r>
            <w:r w:rsidRPr="00574CF8">
              <w:rPr>
                <w:color w:val="auto"/>
                <w:lang w:val="en-US"/>
              </w:rPr>
              <w:t xml:space="preserve"> development?</w:t>
            </w:r>
          </w:p>
          <w:p w14:paraId="57CA1727" w14:textId="4D174161" w:rsidR="00192958" w:rsidRPr="00574CF8" w:rsidRDefault="004669A5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Were</w:t>
            </w:r>
            <w:r w:rsidR="00192958" w:rsidRPr="00574CF8">
              <w:rPr>
                <w:color w:val="auto"/>
                <w:lang w:val="en-US"/>
              </w:rPr>
              <w:t xml:space="preserve"> diverse people with </w:t>
            </w:r>
            <w:r w:rsidR="00D7471A" w:rsidRPr="00574CF8">
              <w:rPr>
                <w:color w:val="auto"/>
              </w:rPr>
              <w:t>disability</w:t>
            </w:r>
            <w:r w:rsidR="0001674D" w:rsidRPr="00574CF8">
              <w:rPr>
                <w:color w:val="auto"/>
              </w:rPr>
              <w:t xml:space="preserve"> </w:t>
            </w:r>
            <w:r w:rsidR="0049004A" w:rsidRPr="00574CF8">
              <w:rPr>
                <w:color w:val="auto"/>
                <w:lang w:val="en-US"/>
              </w:rPr>
              <w:t xml:space="preserve">meaningfully </w:t>
            </w:r>
            <w:r w:rsidR="00E3256A" w:rsidRPr="00574CF8">
              <w:rPr>
                <w:color w:val="auto"/>
                <w:lang w:val="en-US"/>
              </w:rPr>
              <w:t xml:space="preserve">engaged </w:t>
            </w:r>
            <w:r w:rsidR="0049004A" w:rsidRPr="00574CF8">
              <w:rPr>
                <w:color w:val="auto"/>
                <w:lang w:val="en-US"/>
              </w:rPr>
              <w:t xml:space="preserve">in </w:t>
            </w:r>
            <w:r w:rsidR="00192958" w:rsidRPr="00574CF8">
              <w:rPr>
                <w:color w:val="auto"/>
                <w:lang w:val="en-US"/>
              </w:rPr>
              <w:t>the design</w:t>
            </w:r>
            <w:r w:rsidRPr="00574CF8">
              <w:rPr>
                <w:color w:val="auto"/>
                <w:lang w:val="en-US"/>
              </w:rPr>
              <w:t xml:space="preserve"> process</w:t>
            </w:r>
            <w:r w:rsidR="00192958" w:rsidRPr="00574CF8">
              <w:rPr>
                <w:color w:val="auto"/>
                <w:lang w:val="en-US"/>
              </w:rPr>
              <w:t>?</w:t>
            </w:r>
          </w:p>
          <w:p w14:paraId="7EE706EF" w14:textId="65B16FF1" w:rsidR="00192958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design specify how people with </w:t>
            </w:r>
            <w:r w:rsidR="00D7471A" w:rsidRPr="00574CF8">
              <w:rPr>
                <w:color w:val="auto"/>
              </w:rPr>
              <w:t>disability</w:t>
            </w:r>
            <w:r w:rsidR="00D7471A" w:rsidRPr="00574CF8">
              <w:rPr>
                <w:color w:val="auto"/>
                <w:lang w:val="en-US"/>
              </w:rPr>
              <w:t xml:space="preserve"> </w:t>
            </w:r>
            <w:r w:rsidRPr="00574CF8">
              <w:rPr>
                <w:color w:val="auto"/>
                <w:lang w:val="en-US"/>
              </w:rPr>
              <w:t>will participate and benefit equally</w:t>
            </w:r>
            <w:r w:rsidR="00781BDA" w:rsidRPr="00574CF8">
              <w:rPr>
                <w:color w:val="auto"/>
                <w:lang w:val="en-US"/>
              </w:rPr>
              <w:t xml:space="preserve">, including through barrier removal and </w:t>
            </w:r>
            <w:r w:rsidR="00AC3704" w:rsidRPr="00574CF8">
              <w:rPr>
                <w:color w:val="auto"/>
                <w:lang w:val="en-US"/>
              </w:rPr>
              <w:t>reasonable accommodation</w:t>
            </w:r>
            <w:r w:rsidRPr="00574CF8">
              <w:rPr>
                <w:color w:val="auto"/>
                <w:lang w:val="en-US"/>
              </w:rPr>
              <w:t>?</w:t>
            </w:r>
          </w:p>
          <w:p w14:paraId="000201E1" w14:textId="1905F904" w:rsidR="00192958" w:rsidRPr="00574CF8" w:rsidRDefault="00781BDA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lastRenderedPageBreak/>
              <w:t>Do</w:t>
            </w:r>
            <w:r w:rsidR="00192958" w:rsidRPr="00574CF8">
              <w:rPr>
                <w:color w:val="auto"/>
                <w:lang w:val="en-US"/>
              </w:rPr>
              <w:t xml:space="preserve"> program outcomes </w:t>
            </w:r>
            <w:r w:rsidR="0001674D" w:rsidRPr="00574CF8">
              <w:rPr>
                <w:color w:val="auto"/>
                <w:lang w:val="en-US"/>
              </w:rPr>
              <w:t xml:space="preserve">(End of Program or Intermediate) </w:t>
            </w:r>
            <w:r w:rsidR="005975AC" w:rsidRPr="00574CF8">
              <w:rPr>
                <w:color w:val="auto"/>
                <w:lang w:val="en-US"/>
              </w:rPr>
              <w:t xml:space="preserve">explicitly </w:t>
            </w:r>
            <w:r w:rsidR="0001674D" w:rsidRPr="00574CF8">
              <w:rPr>
                <w:color w:val="auto"/>
                <w:lang w:val="en-US"/>
              </w:rPr>
              <w:t>address</w:t>
            </w:r>
            <w:r w:rsidR="00192958" w:rsidRPr="00574CF8">
              <w:rPr>
                <w:color w:val="auto"/>
                <w:lang w:val="en-US"/>
              </w:rPr>
              <w:t xml:space="preserve"> disability equity</w:t>
            </w:r>
            <w:r w:rsidR="0001674D" w:rsidRPr="00574CF8">
              <w:rPr>
                <w:color w:val="auto"/>
                <w:lang w:val="en-US"/>
              </w:rPr>
              <w:t>?</w:t>
            </w:r>
          </w:p>
          <w:p w14:paraId="50330EC2" w14:textId="02D92826" w:rsidR="00781BDA" w:rsidRPr="00574CF8" w:rsidRDefault="00781BDA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design clearly </w:t>
            </w:r>
            <w:r w:rsidR="004669A5" w:rsidRPr="00574CF8">
              <w:rPr>
                <w:color w:val="auto"/>
                <w:lang w:val="en-US"/>
              </w:rPr>
              <w:t>outline targeted and mainstream</w:t>
            </w:r>
            <w:r w:rsidRPr="00574CF8">
              <w:rPr>
                <w:color w:val="auto"/>
                <w:lang w:val="en-US"/>
              </w:rPr>
              <w:t xml:space="preserve"> approaches to disability equity</w:t>
            </w:r>
            <w:r w:rsidR="007C6948" w:rsidRPr="00574CF8">
              <w:rPr>
                <w:color w:val="auto"/>
                <w:lang w:val="en-US"/>
              </w:rPr>
              <w:t>, in line with DFAT’s commitment to a twin-track approach</w:t>
            </w:r>
            <w:r w:rsidR="004669A5" w:rsidRPr="00574CF8">
              <w:rPr>
                <w:color w:val="auto"/>
                <w:lang w:val="en-US"/>
              </w:rPr>
              <w:t>?</w:t>
            </w:r>
          </w:p>
          <w:p w14:paraId="1BAE636C" w14:textId="1A7D3AB8" w:rsidR="00665DD6" w:rsidRPr="00574CF8" w:rsidRDefault="004669A5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Does</w:t>
            </w:r>
            <w:r w:rsidR="00665DD6" w:rsidRPr="00574CF8">
              <w:rPr>
                <w:color w:val="auto"/>
                <w:lang w:val="en-US"/>
              </w:rPr>
              <w:t xml:space="preserve"> the design support DFAT’s disability equity and rights priorities-such as partnering with the disability movement, addressing discrimination, promoting the preconditions for inclusion, supporting equity in humanitarian and climate action, or strengthening the evidence base?</w:t>
            </w:r>
          </w:p>
          <w:p w14:paraId="6FC97156" w14:textId="34834DF0" w:rsidR="00781BDA" w:rsidRPr="00574CF8" w:rsidRDefault="004669A5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Is the</w:t>
            </w:r>
            <w:r w:rsidR="00781BDA" w:rsidRPr="00574CF8">
              <w:rPr>
                <w:color w:val="auto"/>
                <w:lang w:val="en-US"/>
              </w:rPr>
              <w:t xml:space="preserve"> meaningful involvement of </w:t>
            </w:r>
            <w:r w:rsidR="00975374" w:rsidRPr="00574CF8">
              <w:rPr>
                <w:color w:val="auto"/>
                <w:lang w:val="en-US"/>
              </w:rPr>
              <w:t xml:space="preserve">diverse </w:t>
            </w:r>
            <w:r w:rsidR="00EF78AA" w:rsidRPr="00574CF8">
              <w:rPr>
                <w:color w:val="auto"/>
                <w:lang w:val="en-US"/>
              </w:rPr>
              <w:t xml:space="preserve">and underrepresented </w:t>
            </w:r>
            <w:r w:rsidR="00781BDA" w:rsidRPr="00574CF8">
              <w:rPr>
                <w:color w:val="auto"/>
                <w:lang w:val="en-US"/>
              </w:rPr>
              <w:t xml:space="preserve">people with </w:t>
            </w:r>
            <w:r w:rsidR="00D7471A" w:rsidRPr="00574CF8">
              <w:rPr>
                <w:color w:val="auto"/>
              </w:rPr>
              <w:t>disability</w:t>
            </w:r>
            <w:r w:rsidR="00D7471A" w:rsidRPr="00574CF8">
              <w:rPr>
                <w:color w:val="auto"/>
                <w:lang w:val="en-US"/>
              </w:rPr>
              <w:t xml:space="preserve"> </w:t>
            </w:r>
            <w:r w:rsidR="00781BDA" w:rsidRPr="00574CF8">
              <w:rPr>
                <w:color w:val="auto"/>
                <w:lang w:val="en-US"/>
              </w:rPr>
              <w:t xml:space="preserve">and/or OPDs </w:t>
            </w:r>
            <w:r w:rsidR="00157854" w:rsidRPr="00574CF8">
              <w:rPr>
                <w:color w:val="auto"/>
                <w:lang w:val="en-US"/>
              </w:rPr>
              <w:t xml:space="preserve">integrated </w:t>
            </w:r>
            <w:r w:rsidR="00781BDA" w:rsidRPr="00574CF8">
              <w:rPr>
                <w:color w:val="auto"/>
                <w:lang w:val="en-US"/>
              </w:rPr>
              <w:t>into the program logic, MEL and governance structures?</w:t>
            </w:r>
          </w:p>
          <w:p w14:paraId="01C68FC6" w14:textId="434F797D" w:rsidR="004A214E" w:rsidRPr="00574CF8" w:rsidRDefault="004A214E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design commit to </w:t>
            </w:r>
            <w:r w:rsidR="00157854" w:rsidRPr="00574CF8">
              <w:rPr>
                <w:color w:val="auto"/>
                <w:lang w:val="en-US"/>
              </w:rPr>
              <w:t>developing a</w:t>
            </w:r>
            <w:r w:rsidRPr="00574CF8">
              <w:rPr>
                <w:color w:val="auto"/>
                <w:lang w:val="en-US"/>
              </w:rPr>
              <w:t xml:space="preserve"> disability or GEDSI strategy or action plan?</w:t>
            </w:r>
          </w:p>
          <w:p w14:paraId="37C44D71" w14:textId="2A752C52" w:rsidR="00DA4AE4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>Does the budget include dedicated resourc</w:t>
            </w:r>
            <w:r w:rsidR="0012100A" w:rsidRPr="00574CF8">
              <w:rPr>
                <w:color w:val="auto"/>
                <w:lang w:val="en-US"/>
              </w:rPr>
              <w:t>es</w:t>
            </w:r>
            <w:r w:rsidR="00C803DA" w:rsidRPr="00574CF8">
              <w:rPr>
                <w:color w:val="auto"/>
                <w:lang w:val="en-US"/>
              </w:rPr>
              <w:t xml:space="preserve"> </w:t>
            </w:r>
            <w:r w:rsidRPr="00574CF8">
              <w:rPr>
                <w:color w:val="auto"/>
                <w:lang w:val="en-US"/>
              </w:rPr>
              <w:t xml:space="preserve">for </w:t>
            </w:r>
            <w:r w:rsidR="000E1ECB" w:rsidRPr="00574CF8">
              <w:rPr>
                <w:color w:val="auto"/>
                <w:lang w:val="en-US"/>
              </w:rPr>
              <w:t xml:space="preserve">disability equity, </w:t>
            </w:r>
            <w:r w:rsidR="00157854" w:rsidRPr="00574CF8">
              <w:rPr>
                <w:color w:val="auto"/>
                <w:lang w:val="en-US"/>
              </w:rPr>
              <w:t xml:space="preserve">such as </w:t>
            </w:r>
            <w:r w:rsidRPr="00574CF8">
              <w:rPr>
                <w:color w:val="auto"/>
                <w:lang w:val="en-US"/>
              </w:rPr>
              <w:t xml:space="preserve">reasonable accommodation, accessibility </w:t>
            </w:r>
            <w:r w:rsidR="006D648C" w:rsidRPr="00574CF8">
              <w:rPr>
                <w:color w:val="auto"/>
                <w:lang w:val="en-US"/>
              </w:rPr>
              <w:t>measures, technical</w:t>
            </w:r>
            <w:r w:rsidRPr="00574CF8">
              <w:rPr>
                <w:color w:val="auto"/>
                <w:lang w:val="en-US"/>
              </w:rPr>
              <w:t xml:space="preserve"> advice</w:t>
            </w:r>
            <w:r w:rsidR="0042027C" w:rsidRPr="00574CF8">
              <w:rPr>
                <w:color w:val="auto"/>
                <w:lang w:val="en-US"/>
              </w:rPr>
              <w:t>, and engagement with people with disability or OPDs</w:t>
            </w:r>
            <w:r w:rsidRPr="00574CF8">
              <w:rPr>
                <w:color w:val="auto"/>
                <w:lang w:val="en-US"/>
              </w:rPr>
              <w:t>?</w:t>
            </w:r>
          </w:p>
        </w:tc>
      </w:tr>
      <w:tr w:rsidR="00574CF8" w:rsidRPr="00574CF8" w14:paraId="335B434C" w14:textId="77777777" w:rsidTr="00502F65">
        <w:trPr>
          <w:trHeight w:val="70"/>
        </w:trPr>
        <w:tc>
          <w:tcPr>
            <w:tcW w:w="9351" w:type="dxa"/>
            <w:shd w:val="clear" w:color="auto" w:fill="E7E6E6" w:themeFill="background2"/>
          </w:tcPr>
          <w:p w14:paraId="4445585A" w14:textId="1E3AFADF" w:rsidR="00DA4AE4" w:rsidRPr="00574CF8" w:rsidRDefault="00DA4AE4" w:rsidP="00541F33">
            <w:pPr>
              <w:pStyle w:val="TableHeading"/>
              <w:spacing w:before="100" w:after="0"/>
              <w:rPr>
                <w:color w:val="auto"/>
              </w:rPr>
            </w:pPr>
            <w:r w:rsidRPr="00574CF8">
              <w:rPr>
                <w:color w:val="auto"/>
              </w:rPr>
              <w:lastRenderedPageBreak/>
              <w:t>Accountability</w:t>
            </w:r>
          </w:p>
        </w:tc>
      </w:tr>
      <w:tr w:rsidR="00574CF8" w:rsidRPr="00574CF8" w14:paraId="34C311DF" w14:textId="77777777" w:rsidTr="00502F65">
        <w:tc>
          <w:tcPr>
            <w:tcW w:w="9351" w:type="dxa"/>
          </w:tcPr>
          <w:p w14:paraId="3E05EB0C" w14:textId="67CA4A09" w:rsidR="00A93984" w:rsidRPr="00574CF8" w:rsidRDefault="00A93984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MEL plan </w:t>
            </w:r>
            <w:r w:rsidR="004669A5" w:rsidRPr="00574CF8">
              <w:rPr>
                <w:color w:val="auto"/>
                <w:lang w:val="en-US"/>
              </w:rPr>
              <w:t>collect and analyse</w:t>
            </w:r>
            <w:r w:rsidRPr="00574CF8">
              <w:rPr>
                <w:color w:val="auto"/>
                <w:lang w:val="en-US"/>
              </w:rPr>
              <w:t xml:space="preserve"> disability-disaggregated data</w:t>
            </w:r>
            <w:r w:rsidR="004669A5" w:rsidRPr="00574CF8">
              <w:rPr>
                <w:color w:val="auto"/>
                <w:lang w:val="en-US"/>
              </w:rPr>
              <w:t>, using both</w:t>
            </w:r>
            <w:r w:rsidRPr="00574CF8">
              <w:rPr>
                <w:color w:val="auto"/>
                <w:lang w:val="en-US"/>
              </w:rPr>
              <w:t xml:space="preserve"> qualitative and quantitative indicators to </w:t>
            </w:r>
            <w:r w:rsidR="004669A5" w:rsidRPr="00574CF8">
              <w:rPr>
                <w:color w:val="auto"/>
                <w:lang w:val="en-US"/>
              </w:rPr>
              <w:t>track</w:t>
            </w:r>
            <w:r w:rsidRPr="00574CF8">
              <w:rPr>
                <w:color w:val="auto"/>
                <w:lang w:val="en-US"/>
              </w:rPr>
              <w:t xml:space="preserve"> disability-related outcomes?</w:t>
            </w:r>
          </w:p>
          <w:p w14:paraId="62AF298E" w14:textId="2CDD57A4" w:rsidR="00192958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Is disability equity </w:t>
            </w:r>
            <w:r w:rsidR="004669A5" w:rsidRPr="00574CF8">
              <w:rPr>
                <w:color w:val="auto"/>
                <w:lang w:val="en-US"/>
              </w:rPr>
              <w:t>embedded</w:t>
            </w:r>
            <w:r w:rsidRPr="00574CF8">
              <w:rPr>
                <w:color w:val="auto"/>
                <w:lang w:val="en-US"/>
              </w:rPr>
              <w:t xml:space="preserve"> in </w:t>
            </w:r>
            <w:r w:rsidR="00151B1F" w:rsidRPr="00574CF8">
              <w:rPr>
                <w:color w:val="auto"/>
                <w:lang w:val="en-US"/>
              </w:rPr>
              <w:t xml:space="preserve">governance, </w:t>
            </w:r>
            <w:r w:rsidRPr="00574CF8">
              <w:rPr>
                <w:color w:val="auto"/>
                <w:lang w:val="en-US"/>
              </w:rPr>
              <w:t xml:space="preserve">risk </w:t>
            </w:r>
            <w:r w:rsidR="004669A5" w:rsidRPr="00574CF8">
              <w:rPr>
                <w:color w:val="auto"/>
                <w:lang w:val="en-US"/>
              </w:rPr>
              <w:t>management,</w:t>
            </w:r>
            <w:r w:rsidR="00665DD6" w:rsidRPr="00574CF8">
              <w:rPr>
                <w:color w:val="auto"/>
                <w:lang w:val="en-US"/>
              </w:rPr>
              <w:t xml:space="preserve"> and safeguarding measures</w:t>
            </w:r>
            <w:r w:rsidR="00781BDA" w:rsidRPr="00574CF8">
              <w:rPr>
                <w:color w:val="auto"/>
                <w:lang w:val="en-US"/>
              </w:rPr>
              <w:t xml:space="preserve"> to </w:t>
            </w:r>
            <w:r w:rsidR="004669A5" w:rsidRPr="00574CF8">
              <w:rPr>
                <w:color w:val="auto"/>
                <w:lang w:val="en-US"/>
              </w:rPr>
              <w:t>prevent</w:t>
            </w:r>
            <w:r w:rsidR="00781BDA" w:rsidRPr="00574CF8">
              <w:rPr>
                <w:color w:val="auto"/>
                <w:lang w:val="en-US"/>
              </w:rPr>
              <w:t xml:space="preserve"> harm and discrimination</w:t>
            </w:r>
            <w:r w:rsidR="00975374" w:rsidRPr="00574CF8">
              <w:rPr>
                <w:color w:val="auto"/>
                <w:lang w:val="en-US"/>
              </w:rPr>
              <w:t xml:space="preserve">, particularly for those </w:t>
            </w:r>
            <w:r w:rsidR="004669A5" w:rsidRPr="00574CF8">
              <w:rPr>
                <w:color w:val="auto"/>
                <w:lang w:val="en-US"/>
              </w:rPr>
              <w:t>facing</w:t>
            </w:r>
            <w:r w:rsidR="00975374" w:rsidRPr="00574CF8">
              <w:rPr>
                <w:color w:val="auto"/>
                <w:lang w:val="en-US"/>
              </w:rPr>
              <w:t xml:space="preserve"> intersectional disadvantage</w:t>
            </w:r>
            <w:r w:rsidRPr="00574CF8">
              <w:rPr>
                <w:color w:val="auto"/>
                <w:lang w:val="en-US"/>
              </w:rPr>
              <w:t>?</w:t>
            </w:r>
          </w:p>
          <w:p w14:paraId="74DA170E" w14:textId="1F05B8C1" w:rsidR="00192958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Are </w:t>
            </w:r>
            <w:r w:rsidR="004A6A81" w:rsidRPr="00574CF8">
              <w:rPr>
                <w:color w:val="auto"/>
                <w:lang w:val="en-US"/>
              </w:rPr>
              <w:t xml:space="preserve">safeguarding and PSEAH </w:t>
            </w:r>
            <w:r w:rsidR="00665DD6" w:rsidRPr="00574CF8">
              <w:rPr>
                <w:color w:val="auto"/>
                <w:lang w:val="en-US"/>
              </w:rPr>
              <w:t xml:space="preserve">reporting mechanisms and information </w:t>
            </w:r>
            <w:r w:rsidRPr="00574CF8">
              <w:rPr>
                <w:color w:val="auto"/>
                <w:lang w:val="en-US"/>
              </w:rPr>
              <w:t xml:space="preserve">accessible </w:t>
            </w:r>
            <w:r w:rsidR="005975AC" w:rsidRPr="00574CF8">
              <w:rPr>
                <w:color w:val="auto"/>
                <w:lang w:val="en-US"/>
              </w:rPr>
              <w:t>to diverse</w:t>
            </w:r>
            <w:r w:rsidRPr="00574CF8">
              <w:rPr>
                <w:color w:val="auto"/>
                <w:lang w:val="en-US"/>
              </w:rPr>
              <w:t xml:space="preserve"> people with </w:t>
            </w:r>
            <w:r w:rsidR="00D7471A" w:rsidRPr="00574CF8">
              <w:rPr>
                <w:color w:val="auto"/>
              </w:rPr>
              <w:t>disability</w:t>
            </w:r>
            <w:r w:rsidR="001201CC" w:rsidRPr="00574CF8">
              <w:rPr>
                <w:color w:val="auto"/>
              </w:rPr>
              <w:t xml:space="preserve"> on an equal basis with others</w:t>
            </w:r>
            <w:r w:rsidRPr="00574CF8">
              <w:rPr>
                <w:color w:val="auto"/>
                <w:lang w:val="en-US"/>
              </w:rPr>
              <w:t>?</w:t>
            </w:r>
          </w:p>
          <w:p w14:paraId="6DB3788F" w14:textId="652CF2BD" w:rsidR="00192958" w:rsidRPr="00574CF8" w:rsidRDefault="00192958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 </w:t>
            </w:r>
            <w:r w:rsidR="00742F90" w:rsidRPr="00574CF8">
              <w:rPr>
                <w:color w:val="auto"/>
                <w:lang w:val="en-US"/>
              </w:rPr>
              <w:t xml:space="preserve">proposed </w:t>
            </w:r>
            <w:r w:rsidR="00A20935" w:rsidRPr="00574CF8">
              <w:rPr>
                <w:color w:val="auto"/>
                <w:lang w:val="en-US"/>
              </w:rPr>
              <w:t>roles</w:t>
            </w:r>
            <w:r w:rsidRPr="00574CF8">
              <w:rPr>
                <w:color w:val="auto"/>
                <w:lang w:val="en-US"/>
              </w:rPr>
              <w:t xml:space="preserve"> </w:t>
            </w:r>
            <w:r w:rsidR="00A20935" w:rsidRPr="00574CF8">
              <w:rPr>
                <w:color w:val="auto"/>
                <w:lang w:val="en-US"/>
              </w:rPr>
              <w:t>demonstrate</w:t>
            </w:r>
            <w:r w:rsidR="004669A5" w:rsidRPr="00574CF8">
              <w:rPr>
                <w:color w:val="auto"/>
                <w:lang w:val="en-US"/>
              </w:rPr>
              <w:t xml:space="preserve"> </w:t>
            </w:r>
            <w:r w:rsidRPr="00574CF8">
              <w:rPr>
                <w:color w:val="auto"/>
                <w:lang w:val="en-US"/>
              </w:rPr>
              <w:t>disability equity</w:t>
            </w:r>
            <w:r w:rsidR="004669A5" w:rsidRPr="00574CF8">
              <w:rPr>
                <w:color w:val="auto"/>
                <w:lang w:val="en-US"/>
              </w:rPr>
              <w:t>-</w:t>
            </w:r>
            <w:r w:rsidR="00742F90" w:rsidRPr="00574CF8">
              <w:rPr>
                <w:color w:val="auto"/>
                <w:lang w:val="en-US"/>
              </w:rPr>
              <w:t>related expertise</w:t>
            </w:r>
            <w:r w:rsidR="00A20935" w:rsidRPr="00574CF8">
              <w:rPr>
                <w:color w:val="auto"/>
                <w:lang w:val="en-US"/>
              </w:rPr>
              <w:t>,</w:t>
            </w:r>
            <w:r w:rsidRPr="00574CF8">
              <w:rPr>
                <w:color w:val="auto"/>
                <w:lang w:val="en-US"/>
              </w:rPr>
              <w:t xml:space="preserve"> </w:t>
            </w:r>
            <w:r w:rsidR="00742F90" w:rsidRPr="00574CF8">
              <w:rPr>
                <w:color w:val="auto"/>
                <w:lang w:val="en-US"/>
              </w:rPr>
              <w:t>including</w:t>
            </w:r>
            <w:r w:rsidR="00A20935" w:rsidRPr="00574CF8">
              <w:rPr>
                <w:color w:val="auto"/>
                <w:lang w:val="en-US"/>
              </w:rPr>
              <w:t xml:space="preserve"> amongst</w:t>
            </w:r>
            <w:r w:rsidRPr="00574CF8">
              <w:rPr>
                <w:color w:val="auto"/>
                <w:lang w:val="en-US"/>
              </w:rPr>
              <w:t xml:space="preserve"> </w:t>
            </w:r>
            <w:r w:rsidR="00A20935" w:rsidRPr="00574CF8">
              <w:rPr>
                <w:color w:val="auto"/>
                <w:lang w:val="en-US"/>
              </w:rPr>
              <w:t xml:space="preserve">technical </w:t>
            </w:r>
            <w:r w:rsidR="00B3115D" w:rsidRPr="00574CF8">
              <w:rPr>
                <w:color w:val="auto"/>
                <w:lang w:val="en-US"/>
              </w:rPr>
              <w:t>advisors</w:t>
            </w:r>
            <w:r w:rsidRPr="00574CF8">
              <w:rPr>
                <w:color w:val="auto"/>
                <w:lang w:val="en-US"/>
              </w:rPr>
              <w:t>, Team Leader</w:t>
            </w:r>
            <w:r w:rsidR="00A20935" w:rsidRPr="00574CF8">
              <w:rPr>
                <w:color w:val="auto"/>
                <w:lang w:val="en-US"/>
              </w:rPr>
              <w:t xml:space="preserve"> positions</w:t>
            </w:r>
            <w:r w:rsidRPr="00574CF8">
              <w:rPr>
                <w:color w:val="auto"/>
                <w:lang w:val="en-US"/>
              </w:rPr>
              <w:t xml:space="preserve">, </w:t>
            </w:r>
            <w:r w:rsidR="004669A5" w:rsidRPr="00574CF8">
              <w:rPr>
                <w:color w:val="auto"/>
                <w:lang w:val="en-US"/>
              </w:rPr>
              <w:t>s</w:t>
            </w:r>
            <w:r w:rsidRPr="00574CF8">
              <w:rPr>
                <w:color w:val="auto"/>
                <w:lang w:val="en-US"/>
              </w:rPr>
              <w:t xml:space="preserve">pecified </w:t>
            </w:r>
            <w:r w:rsidR="004669A5" w:rsidRPr="00574CF8">
              <w:rPr>
                <w:color w:val="auto"/>
                <w:lang w:val="en-US"/>
              </w:rPr>
              <w:t>p</w:t>
            </w:r>
            <w:r w:rsidRPr="00574CF8">
              <w:rPr>
                <w:color w:val="auto"/>
                <w:lang w:val="en-US"/>
              </w:rPr>
              <w:t xml:space="preserve">ersonnel, and </w:t>
            </w:r>
            <w:r w:rsidR="004669A5" w:rsidRPr="00574CF8">
              <w:rPr>
                <w:color w:val="auto"/>
                <w:lang w:val="en-US"/>
              </w:rPr>
              <w:t>MEL</w:t>
            </w:r>
            <w:r w:rsidRPr="00574CF8">
              <w:rPr>
                <w:color w:val="auto"/>
                <w:lang w:val="en-US"/>
              </w:rPr>
              <w:t xml:space="preserve"> advisors?</w:t>
            </w:r>
          </w:p>
          <w:p w14:paraId="55DA5A32" w14:textId="1E153073" w:rsidR="00DA4AE4" w:rsidRPr="00574CF8" w:rsidRDefault="00D64F6B" w:rsidP="00541F33">
            <w:pPr>
              <w:pStyle w:val="BodyCopyBullets"/>
              <w:spacing w:before="100" w:after="0"/>
              <w:rPr>
                <w:color w:val="auto"/>
                <w:lang w:val="en-US"/>
              </w:rPr>
            </w:pPr>
            <w:r w:rsidRPr="00574CF8">
              <w:rPr>
                <w:color w:val="auto"/>
                <w:lang w:val="en-US"/>
              </w:rPr>
              <w:t xml:space="preserve">Does the MEL plan enable regular monitoring of </w:t>
            </w:r>
            <w:r w:rsidR="00192958" w:rsidRPr="00574CF8">
              <w:rPr>
                <w:color w:val="auto"/>
                <w:lang w:val="en-US"/>
              </w:rPr>
              <w:t xml:space="preserve">the implementing partner’s </w:t>
            </w:r>
            <w:r w:rsidRPr="00574CF8">
              <w:rPr>
                <w:color w:val="auto"/>
                <w:lang w:val="en-US"/>
              </w:rPr>
              <w:t xml:space="preserve">disability equity </w:t>
            </w:r>
            <w:r w:rsidR="00192958" w:rsidRPr="00574CF8">
              <w:rPr>
                <w:color w:val="auto"/>
                <w:lang w:val="en-US"/>
              </w:rPr>
              <w:t>performance?</w:t>
            </w:r>
          </w:p>
        </w:tc>
      </w:tr>
    </w:tbl>
    <w:p w14:paraId="7F9502E1" w14:textId="45A0563C" w:rsidR="00DA4AE4" w:rsidRPr="00574CF8" w:rsidRDefault="004A6A81" w:rsidP="00DA4AE4">
      <w:pPr>
        <w:pStyle w:val="H2-Heading2"/>
        <w:rPr>
          <w:rFonts w:asciiTheme="minorHAnsi" w:hAnsiTheme="minorHAnsi" w:cstheme="minorHAnsi"/>
          <w:color w:val="auto"/>
        </w:rPr>
      </w:pPr>
      <w:r w:rsidRPr="00574CF8">
        <w:rPr>
          <w:rFonts w:asciiTheme="minorHAnsi" w:hAnsiTheme="minorHAnsi" w:cstheme="minorHAnsi"/>
          <w:color w:val="auto"/>
        </w:rPr>
        <w:t>3</w:t>
      </w:r>
      <w:r w:rsidR="00DA4AE4" w:rsidRPr="00574CF8">
        <w:rPr>
          <w:rFonts w:asciiTheme="minorHAnsi" w:hAnsiTheme="minorHAnsi" w:cstheme="minorHAnsi"/>
          <w:color w:val="auto"/>
        </w:rPr>
        <w:t xml:space="preserve">. investment design </w:t>
      </w:r>
    </w:p>
    <w:p w14:paraId="338DD071" w14:textId="3BF9B9DE" w:rsidR="00C1542D" w:rsidRPr="00574CF8" w:rsidRDefault="00C1542D" w:rsidP="001A75CC">
      <w:pPr>
        <w:rPr>
          <w:rFonts w:ascii="Calibri Light" w:eastAsia="Calibri" w:hAnsi="Calibri Light" w:cs="Calibri Light"/>
          <w:color w:val="auto"/>
          <w:szCs w:val="21"/>
        </w:rPr>
      </w:pP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Disability equity must be </w:t>
      </w:r>
      <w:r w:rsidR="00A93984" w:rsidRPr="00574CF8" w:rsidDel="006E2B79">
        <w:rPr>
          <w:rFonts w:ascii="Calibri Light" w:eastAsia="Calibri" w:hAnsi="Calibri Light" w:cs="Calibri Light"/>
          <w:color w:val="auto"/>
          <w:szCs w:val="21"/>
        </w:rPr>
        <w:t>evident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in design processes and documentation.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Engage</w:t>
      </w:r>
      <w:r w:rsidR="00A86614"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disability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expertise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early in the design process</w:t>
      </w:r>
      <w:r w:rsidR="00A93984"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by involving 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>a</w:t>
      </w:r>
      <w:r w:rsidR="00A93984"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n 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>advisor in the design team, reference group, and</w:t>
      </w:r>
      <w:r w:rsidR="001201CC" w:rsidRPr="00574CF8">
        <w:rPr>
          <w:rFonts w:ascii="Calibri Light" w:eastAsia="Calibri" w:hAnsi="Calibri Light" w:cs="Calibri Light"/>
          <w:color w:val="auto"/>
          <w:szCs w:val="21"/>
        </w:rPr>
        <w:t>/or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A93984" w:rsidRPr="00574CF8" w:rsidDel="006E2B79">
        <w:rPr>
          <w:rFonts w:ascii="Calibri Light" w:eastAsia="Calibri" w:hAnsi="Calibri Light" w:cs="Calibri Light"/>
          <w:color w:val="auto"/>
          <w:szCs w:val="21"/>
        </w:rPr>
        <w:t>during</w:t>
      </w:r>
      <w:r w:rsidRPr="00574CF8" w:rsidDel="006E2B79">
        <w:rPr>
          <w:rFonts w:ascii="Calibri Light" w:eastAsia="Calibri" w:hAnsi="Calibri Light" w:cs="Calibri Light"/>
          <w:color w:val="auto"/>
          <w:szCs w:val="21"/>
        </w:rPr>
        <w:t xml:space="preserve"> peer review and appraisal.</w:t>
      </w:r>
      <w:r w:rsidR="001A75CC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Where a GEDSI advisor is engaged, </w:t>
      </w:r>
      <w:r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 xml:space="preserve">ensure </w:t>
      </w:r>
      <w:r w:rsidR="00C508FF"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>they have</w:t>
      </w:r>
      <w:r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 xml:space="preserve"> specific </w:t>
      </w:r>
      <w:r w:rsidR="00C508FF"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 xml:space="preserve">disability </w:t>
      </w:r>
      <w:r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>expertise</w:t>
      </w:r>
      <w:r w:rsidR="00C508FF"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 xml:space="preserve">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or are supported by a disability advisor</w:t>
      </w:r>
      <w:r w:rsidR="001A4BD2" w:rsidRPr="00574CF8">
        <w:rPr>
          <w:rFonts w:ascii="Calibri Light" w:eastAsia="Calibri" w:hAnsi="Calibri Light" w:cs="Calibri Light"/>
          <w:color w:val="auto"/>
          <w:szCs w:val="21"/>
        </w:rPr>
        <w:t>.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</w:p>
    <w:p w14:paraId="493A4E58" w14:textId="662BCB31" w:rsidR="00DA4AE4" w:rsidRPr="00574CF8" w:rsidRDefault="004A6A81" w:rsidP="00DA4AE4">
      <w:pPr>
        <w:pStyle w:val="H3-Heading3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.1 Disability analysis </w:t>
      </w:r>
    </w:p>
    <w:p w14:paraId="68B028D4" w14:textId="11A180E6" w:rsidR="00C1542D" w:rsidRPr="00574CF8" w:rsidRDefault="001A4BD2" w:rsidP="00AD1B15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DFAT’s </w:t>
      </w:r>
      <w:hyperlink r:id="rId13" w:history="1">
        <w:r w:rsidR="00C1542D" w:rsidRPr="00574CF8">
          <w:rPr>
            <w:rStyle w:val="Hyperlink"/>
            <w:rFonts w:ascii="Calibri Light" w:eastAsia="Calibri" w:hAnsi="Calibri Light" w:cs="Calibri Light"/>
            <w:color w:val="auto"/>
            <w:szCs w:val="21"/>
          </w:rPr>
          <w:t>GEDSI Analysis Good Practice Note</w:t>
        </w:r>
      </w:hyperlink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guides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 xml:space="preserve">DFAT investment managers and </w:t>
      </w:r>
      <w:r w:rsidR="003379E5" w:rsidRPr="00574CF8">
        <w:rPr>
          <w:rFonts w:ascii="Calibri Light" w:eastAsia="Calibri" w:hAnsi="Calibri Light" w:cs="Calibri Light"/>
          <w:color w:val="auto"/>
          <w:szCs w:val="21"/>
        </w:rPr>
        <w:t xml:space="preserve">implementing 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 xml:space="preserve">partners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in developing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 xml:space="preserve"> quality GEDSI analysis. </w:t>
      </w:r>
      <w:r w:rsidR="003437F1" w:rsidRPr="00574CF8">
        <w:rPr>
          <w:rFonts w:ascii="Calibri Light" w:eastAsia="Calibri" w:hAnsi="Calibri Light" w:cs="Calibri Light"/>
          <w:color w:val="auto"/>
          <w:szCs w:val="21"/>
        </w:rPr>
        <w:t>The analysis should i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 xml:space="preserve">dentify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barriers and opportunities for </w:t>
      </w:r>
      <w:r w:rsidR="00D93A73" w:rsidRPr="00574CF8">
        <w:rPr>
          <w:rFonts w:ascii="Calibri Light" w:eastAsia="Calibri" w:hAnsi="Calibri Light" w:cs="Calibri Light"/>
          <w:color w:val="auto"/>
          <w:szCs w:val="21"/>
        </w:rPr>
        <w:t xml:space="preserve">diverse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people with 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>disability, including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physical, communication, attitudinal and institutional barriers. Where local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data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is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>limited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, 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 xml:space="preserve">use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international or regional 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>data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. Ideally the analysis </w:t>
      </w:r>
      <w:r w:rsidR="0018271C" w:rsidRPr="00574CF8">
        <w:rPr>
          <w:rFonts w:ascii="Calibri Light" w:eastAsia="Calibri" w:hAnsi="Calibri Light" w:cs="Calibri Light"/>
          <w:color w:val="auto"/>
          <w:szCs w:val="21"/>
        </w:rPr>
        <w:t>should be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informed by consultation with diverse people with </w:t>
      </w:r>
      <w:r w:rsidR="00D7471A" w:rsidRPr="00574CF8">
        <w:rPr>
          <w:rFonts w:ascii="Calibri Light" w:eastAsia="Calibri" w:hAnsi="Calibri Light" w:cs="Calibri Light"/>
          <w:color w:val="auto"/>
          <w:szCs w:val="21"/>
        </w:rPr>
        <w:t xml:space="preserve">disability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and their representative organisations. </w:t>
      </w:r>
    </w:p>
    <w:p w14:paraId="50AE0B6C" w14:textId="2B661E5F" w:rsidR="005207A8" w:rsidRPr="00574CF8" w:rsidRDefault="00C508FF" w:rsidP="00C42C7B">
      <w:pPr>
        <w:spacing w:before="40" w:after="120"/>
        <w:rPr>
          <w:rFonts w:eastAsiaTheme="majorEastAsia" w:cstheme="minorHAnsi"/>
          <w:b/>
          <w:bCs/>
          <w:color w:val="auto"/>
          <w:sz w:val="28"/>
          <w:szCs w:val="28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Ensure the a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nalysis </w:t>
      </w:r>
      <w:r w:rsidRPr="00574CF8">
        <w:rPr>
          <w:rFonts w:ascii="Calibri Light" w:eastAsia="Calibri" w:hAnsi="Calibri Light" w:cs="Calibri Light"/>
          <w:color w:val="auto"/>
          <w:szCs w:val="21"/>
        </w:rPr>
        <w:t>reflects the experiences and interests of those most marginalised.</w:t>
      </w:r>
      <w:r w:rsidR="008B5CBA" w:rsidRPr="00574CF8">
        <w:rPr>
          <w:rFonts w:ascii="Calibri Light" w:eastAsia="Calibri" w:hAnsi="Calibri Light" w:cs="Calibri Light"/>
          <w:color w:val="auto"/>
          <w:szCs w:val="21"/>
        </w:rPr>
        <w:t xml:space="preserve"> This may </w:t>
      </w:r>
      <w:r w:rsidRPr="00574CF8">
        <w:rPr>
          <w:rFonts w:ascii="Calibri Light" w:eastAsia="Calibri" w:hAnsi="Calibri Light" w:cs="Calibri Light"/>
          <w:color w:val="auto"/>
          <w:szCs w:val="21"/>
        </w:rPr>
        <w:t>include considerations</w:t>
      </w:r>
      <w:r w:rsidR="00453944" w:rsidRPr="00574CF8">
        <w:rPr>
          <w:rFonts w:ascii="Calibri Light" w:eastAsia="Calibri" w:hAnsi="Calibri Light" w:cs="Calibri Light"/>
          <w:color w:val="auto"/>
          <w:szCs w:val="21"/>
        </w:rPr>
        <w:t xml:space="preserve"> of</w:t>
      </w:r>
      <w:r w:rsidR="008B5CBA" w:rsidRPr="00574CF8">
        <w:rPr>
          <w:rFonts w:ascii="Calibri Light" w:eastAsia="Calibri" w:hAnsi="Calibri Light" w:cs="Calibri Light"/>
          <w:color w:val="auto"/>
          <w:szCs w:val="21"/>
        </w:rPr>
        <w:t xml:space="preserve"> gender, age, ethnicity, First Nations status, socio-economic </w:t>
      </w:r>
      <w:r w:rsidRPr="00574CF8">
        <w:rPr>
          <w:rFonts w:ascii="Calibri Light" w:eastAsia="Calibri" w:hAnsi="Calibri Light" w:cs="Calibri Light"/>
          <w:color w:val="auto"/>
          <w:szCs w:val="21"/>
        </w:rPr>
        <w:t>background</w:t>
      </w:r>
      <w:r w:rsidR="008B5CBA" w:rsidRPr="00574CF8">
        <w:rPr>
          <w:rFonts w:ascii="Calibri Light" w:eastAsia="Calibri" w:hAnsi="Calibri Light" w:cs="Calibri Light"/>
          <w:color w:val="auto"/>
          <w:szCs w:val="21"/>
        </w:rPr>
        <w:t xml:space="preserve">, </w:t>
      </w:r>
      <w:r w:rsidRPr="00574CF8">
        <w:rPr>
          <w:rFonts w:ascii="Calibri Light" w:eastAsia="Calibri" w:hAnsi="Calibri Light" w:cs="Calibri Light"/>
          <w:color w:val="auto"/>
          <w:szCs w:val="21"/>
        </w:rPr>
        <w:t>and</w:t>
      </w:r>
      <w:r w:rsidR="008B5CBA" w:rsidRPr="00574CF8">
        <w:rPr>
          <w:rFonts w:ascii="Calibri Light" w:eastAsia="Calibri" w:hAnsi="Calibri Light" w:cs="Calibri Light"/>
          <w:color w:val="auto"/>
          <w:szCs w:val="21"/>
        </w:rPr>
        <w:t xml:space="preserve"> disability types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(e.g. physical, sensory, psychosocial, cognitive). </w:t>
      </w:r>
    </w:p>
    <w:p w14:paraId="25593799" w14:textId="67AA6D3C" w:rsidR="00DA4AE4" w:rsidRPr="00574CF8" w:rsidRDefault="004A6A81" w:rsidP="00DA4AE4">
      <w:pPr>
        <w:pStyle w:val="H3-Heading3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.2 Design Terms of Reference </w:t>
      </w:r>
    </w:p>
    <w:p w14:paraId="0FD7CD44" w14:textId="0C6E5981" w:rsidR="00C1542D" w:rsidRPr="00574CF8" w:rsidRDefault="00C508FF" w:rsidP="00D74030">
      <w:pPr>
        <w:spacing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Include d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isability equity considerations </w:t>
      </w:r>
      <w:r w:rsidRPr="00574CF8">
        <w:rPr>
          <w:rFonts w:ascii="Calibri Light" w:eastAsia="Calibri" w:hAnsi="Calibri Light" w:cs="Calibri Light"/>
          <w:color w:val="auto"/>
          <w:szCs w:val="21"/>
        </w:rPr>
        <w:t>in the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397AB6" w:rsidRPr="00574CF8">
        <w:rPr>
          <w:rFonts w:ascii="Calibri Light" w:eastAsia="Calibri" w:hAnsi="Calibri Light" w:cs="Calibri Light"/>
          <w:color w:val="auto"/>
          <w:szCs w:val="21"/>
        </w:rPr>
        <w:t>design team</w:t>
      </w:r>
      <w:r w:rsidRPr="00574CF8">
        <w:rPr>
          <w:rFonts w:ascii="Calibri Light" w:eastAsia="Calibri" w:hAnsi="Calibri Light" w:cs="Calibri Light"/>
          <w:color w:val="auto"/>
          <w:szCs w:val="21"/>
        </w:rPr>
        <w:t>’s</w:t>
      </w:r>
      <w:r w:rsidR="00397AB6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>Terms of Reference:</w:t>
      </w:r>
    </w:p>
    <w:p w14:paraId="64EA6A11" w14:textId="5707CFBF" w:rsidR="00C1542D" w:rsidRPr="00574CF8" w:rsidRDefault="00C1542D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Technical advice</w:t>
      </w:r>
      <w:r w:rsidRPr="00574CF8">
        <w:rPr>
          <w:color w:val="auto"/>
        </w:rPr>
        <w:t xml:space="preserve">: </w:t>
      </w:r>
      <w:r w:rsidR="00C508FF" w:rsidRPr="00574CF8">
        <w:rPr>
          <w:color w:val="auto"/>
        </w:rPr>
        <w:t>Engage</w:t>
      </w:r>
      <w:r w:rsidRPr="00574CF8">
        <w:rPr>
          <w:color w:val="auto"/>
        </w:rPr>
        <w:t xml:space="preserve"> a disability equity advisor to guide consultations with people with </w:t>
      </w:r>
      <w:r w:rsidR="00D7471A" w:rsidRPr="00574CF8">
        <w:rPr>
          <w:color w:val="auto"/>
        </w:rPr>
        <w:t xml:space="preserve">disability </w:t>
      </w:r>
      <w:r w:rsidR="00713234" w:rsidRPr="00574CF8">
        <w:rPr>
          <w:color w:val="auto"/>
        </w:rPr>
        <w:t>and/</w:t>
      </w:r>
      <w:r w:rsidRPr="00574CF8">
        <w:rPr>
          <w:color w:val="auto"/>
        </w:rPr>
        <w:t xml:space="preserve">or </w:t>
      </w:r>
      <w:r w:rsidR="008B5CBA" w:rsidRPr="00574CF8">
        <w:rPr>
          <w:color w:val="auto"/>
        </w:rPr>
        <w:t>OPDs</w:t>
      </w:r>
      <w:r w:rsidRPr="00574CF8">
        <w:rPr>
          <w:color w:val="auto"/>
        </w:rPr>
        <w:t xml:space="preserve">, identify </w:t>
      </w:r>
      <w:r w:rsidR="00C508FF" w:rsidRPr="00574CF8">
        <w:rPr>
          <w:color w:val="auto"/>
        </w:rPr>
        <w:t>key</w:t>
      </w:r>
      <w:r w:rsidRPr="00574CF8">
        <w:rPr>
          <w:color w:val="auto"/>
        </w:rPr>
        <w:t xml:space="preserve"> </w:t>
      </w:r>
      <w:r w:rsidR="00E252E2" w:rsidRPr="00574CF8">
        <w:rPr>
          <w:color w:val="auto"/>
        </w:rPr>
        <w:t xml:space="preserve">considerations </w:t>
      </w:r>
      <w:r w:rsidRPr="00574CF8">
        <w:rPr>
          <w:color w:val="auto"/>
        </w:rPr>
        <w:t xml:space="preserve">and </w:t>
      </w:r>
      <w:r w:rsidR="00C508FF" w:rsidRPr="00574CF8">
        <w:rPr>
          <w:color w:val="auto"/>
        </w:rPr>
        <w:t>shape design</w:t>
      </w:r>
      <w:r w:rsidR="008B5CBA" w:rsidRPr="00574CF8">
        <w:rPr>
          <w:color w:val="auto"/>
        </w:rPr>
        <w:t xml:space="preserve"> </w:t>
      </w:r>
      <w:r w:rsidRPr="00574CF8">
        <w:rPr>
          <w:color w:val="auto"/>
        </w:rPr>
        <w:t>recommendations.</w:t>
      </w:r>
    </w:p>
    <w:p w14:paraId="0FF3E924" w14:textId="4057862D" w:rsidR="00C1542D" w:rsidRPr="00574CF8" w:rsidRDefault="00C1542D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lastRenderedPageBreak/>
        <w:t>Diversity of disability</w:t>
      </w:r>
      <w:r w:rsidRPr="00574CF8">
        <w:rPr>
          <w:color w:val="auto"/>
        </w:rPr>
        <w:t xml:space="preserve">: </w:t>
      </w:r>
      <w:r w:rsidR="00C508FF" w:rsidRPr="00574CF8">
        <w:rPr>
          <w:color w:val="auto"/>
        </w:rPr>
        <w:t>Ensure s</w:t>
      </w:r>
      <w:r w:rsidR="0061567C" w:rsidRPr="00574CF8">
        <w:rPr>
          <w:color w:val="auto"/>
        </w:rPr>
        <w:t>takeholder engagement include</w:t>
      </w:r>
      <w:r w:rsidR="00C508FF" w:rsidRPr="00574CF8">
        <w:rPr>
          <w:color w:val="auto"/>
        </w:rPr>
        <w:t>s</w:t>
      </w:r>
      <w:r w:rsidR="0061567C" w:rsidRPr="00574CF8">
        <w:rPr>
          <w:color w:val="auto"/>
        </w:rPr>
        <w:t xml:space="preserve"> a</w:t>
      </w:r>
      <w:r w:rsidR="008B5CBA" w:rsidRPr="00574CF8">
        <w:rPr>
          <w:color w:val="auto"/>
        </w:rPr>
        <w:t xml:space="preserve"> </w:t>
      </w:r>
      <w:r w:rsidR="00C508FF" w:rsidRPr="00574CF8">
        <w:rPr>
          <w:color w:val="auto"/>
        </w:rPr>
        <w:t>range</w:t>
      </w:r>
      <w:r w:rsidR="008B5CBA" w:rsidRPr="00574CF8">
        <w:rPr>
          <w:color w:val="auto"/>
        </w:rPr>
        <w:t xml:space="preserve"> of</w:t>
      </w:r>
      <w:r w:rsidRPr="00574CF8">
        <w:rPr>
          <w:color w:val="auto"/>
        </w:rPr>
        <w:t xml:space="preserve"> people with </w:t>
      </w:r>
      <w:r w:rsidR="008B5CBA" w:rsidRPr="00574CF8">
        <w:rPr>
          <w:color w:val="auto"/>
        </w:rPr>
        <w:t xml:space="preserve">disability, </w:t>
      </w:r>
      <w:r w:rsidR="00975374" w:rsidRPr="00574CF8">
        <w:rPr>
          <w:color w:val="auto"/>
        </w:rPr>
        <w:t xml:space="preserve">including women and girls, LGBTIQA+ people, people who are Deaf, Blind, Deafblind and people with psychosocial and cognitive disability. </w:t>
      </w:r>
      <w:r w:rsidR="00C508FF" w:rsidRPr="00574CF8">
        <w:rPr>
          <w:color w:val="auto"/>
        </w:rPr>
        <w:t>Partnering</w:t>
      </w:r>
      <w:r w:rsidRPr="00574CF8">
        <w:rPr>
          <w:color w:val="auto"/>
        </w:rPr>
        <w:t xml:space="preserve"> with OPDs </w:t>
      </w:r>
      <w:r w:rsidR="00975374" w:rsidRPr="00574CF8">
        <w:rPr>
          <w:color w:val="auto"/>
        </w:rPr>
        <w:t xml:space="preserve">and other representative organisations </w:t>
      </w:r>
      <w:r w:rsidRPr="00574CF8">
        <w:rPr>
          <w:color w:val="auto"/>
        </w:rPr>
        <w:t xml:space="preserve">can facilitate engagement with diverse people with </w:t>
      </w:r>
      <w:r w:rsidR="00D7471A" w:rsidRPr="00574CF8">
        <w:rPr>
          <w:color w:val="auto"/>
        </w:rPr>
        <w:t>disability</w:t>
      </w:r>
      <w:r w:rsidRPr="00574CF8">
        <w:rPr>
          <w:color w:val="auto"/>
        </w:rPr>
        <w:t xml:space="preserve">.  </w:t>
      </w:r>
    </w:p>
    <w:p w14:paraId="1B43D130" w14:textId="1C156E3E" w:rsidR="00C1542D" w:rsidRPr="00574CF8" w:rsidRDefault="00C1542D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Enabling participation</w:t>
      </w:r>
      <w:r w:rsidRPr="00574CF8">
        <w:rPr>
          <w:color w:val="auto"/>
        </w:rPr>
        <w:t xml:space="preserve">: </w:t>
      </w:r>
      <w:r w:rsidR="00C508FF" w:rsidRPr="00574CF8">
        <w:rPr>
          <w:color w:val="auto"/>
        </w:rPr>
        <w:t>Plan for a</w:t>
      </w:r>
      <w:r w:rsidRPr="00574CF8">
        <w:rPr>
          <w:color w:val="auto"/>
        </w:rPr>
        <w:t xml:space="preserve">ccessibility </w:t>
      </w:r>
      <w:r w:rsidR="00C508FF" w:rsidRPr="00574CF8">
        <w:rPr>
          <w:color w:val="auto"/>
        </w:rPr>
        <w:t xml:space="preserve">and reasonable accommodation in </w:t>
      </w:r>
      <w:r w:rsidRPr="00574CF8">
        <w:rPr>
          <w:color w:val="auto"/>
        </w:rPr>
        <w:t>the design process (including venues</w:t>
      </w:r>
      <w:r w:rsidR="005F702A" w:rsidRPr="00574CF8">
        <w:rPr>
          <w:color w:val="auto"/>
        </w:rPr>
        <w:t>,</w:t>
      </w:r>
      <w:r w:rsidRPr="00574CF8">
        <w:rPr>
          <w:color w:val="auto"/>
        </w:rPr>
        <w:t xml:space="preserve"> communication formats</w:t>
      </w:r>
      <w:r w:rsidR="005F702A" w:rsidRPr="00574CF8">
        <w:rPr>
          <w:color w:val="auto"/>
        </w:rPr>
        <w:t>, and budget</w:t>
      </w:r>
      <w:r w:rsidRPr="00574CF8">
        <w:rPr>
          <w:color w:val="auto"/>
        </w:rPr>
        <w:t xml:space="preserve">) </w:t>
      </w:r>
      <w:r w:rsidR="005F702A" w:rsidRPr="00574CF8">
        <w:rPr>
          <w:color w:val="auto"/>
        </w:rPr>
        <w:t>to support</w:t>
      </w:r>
      <w:r w:rsidRPr="00574CF8">
        <w:rPr>
          <w:color w:val="auto"/>
        </w:rPr>
        <w:t xml:space="preserve"> meaningful participation.  </w:t>
      </w:r>
    </w:p>
    <w:p w14:paraId="12D7D1B2" w14:textId="6F2C8203" w:rsidR="00DA4AE4" w:rsidRPr="00574CF8" w:rsidRDefault="004A6A81" w:rsidP="00DA4AE4">
      <w:pPr>
        <w:pStyle w:val="H3-Heading3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 Design Document or Design Summary </w:t>
      </w:r>
    </w:p>
    <w:p w14:paraId="7839B058" w14:textId="4D66B0BB" w:rsidR="00C1542D" w:rsidRPr="00574CF8" w:rsidRDefault="00C1542D" w:rsidP="00C1542D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Disability equity should be incorporated throughout the design</w:t>
      </w:r>
      <w:r w:rsidR="00EB1D04" w:rsidRPr="00574CF8">
        <w:rPr>
          <w:rFonts w:ascii="Calibri Light" w:eastAsia="Calibri" w:hAnsi="Calibri Light" w:cs="Calibri Light"/>
          <w:color w:val="auto"/>
          <w:szCs w:val="21"/>
        </w:rPr>
        <w:t>, which</w:t>
      </w:r>
      <w:r w:rsidR="00C508FF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should actively consider how </w:t>
      </w:r>
      <w:r w:rsidR="000F210E" w:rsidRPr="00574CF8">
        <w:rPr>
          <w:rFonts w:ascii="Calibri Light" w:eastAsia="Calibri" w:hAnsi="Calibri Light" w:cs="Calibri Light"/>
          <w:color w:val="auto"/>
          <w:szCs w:val="21"/>
        </w:rPr>
        <w:t>to</w:t>
      </w:r>
      <w:r w:rsidRPr="00574CF8">
        <w:rPr>
          <w:rFonts w:ascii="Calibri Light" w:eastAsia="Calibri" w:hAnsi="Calibri Light" w:cs="Calibri Light"/>
          <w:color w:val="auto"/>
          <w:szCs w:val="21"/>
        </w:rPr>
        <w:t>:</w:t>
      </w:r>
    </w:p>
    <w:p w14:paraId="582F1B3A" w14:textId="4686F077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Remove</w:t>
      </w:r>
      <w:r w:rsidR="00C1542D" w:rsidRPr="00574CF8">
        <w:rPr>
          <w:b/>
          <w:bCs/>
          <w:color w:val="auto"/>
        </w:rPr>
        <w:t xml:space="preserve"> barriers </w:t>
      </w:r>
      <w:r w:rsidR="00975374" w:rsidRPr="00574CF8">
        <w:rPr>
          <w:b/>
          <w:bCs/>
          <w:color w:val="auto"/>
        </w:rPr>
        <w:t xml:space="preserve">and </w:t>
      </w:r>
      <w:r w:rsidRPr="00574CF8">
        <w:rPr>
          <w:b/>
          <w:bCs/>
          <w:color w:val="auto"/>
        </w:rPr>
        <w:t>uphold</w:t>
      </w:r>
      <w:r w:rsidR="00975374" w:rsidRPr="00574CF8">
        <w:rPr>
          <w:b/>
          <w:bCs/>
          <w:color w:val="auto"/>
        </w:rPr>
        <w:t xml:space="preserve"> the rights</w:t>
      </w:r>
      <w:r w:rsidR="00975374" w:rsidRPr="00574CF8">
        <w:rPr>
          <w:color w:val="auto"/>
        </w:rPr>
        <w:t xml:space="preserve"> </w:t>
      </w:r>
      <w:r w:rsidR="00975374" w:rsidRPr="00574CF8">
        <w:rPr>
          <w:b/>
          <w:bCs/>
          <w:color w:val="auto"/>
        </w:rPr>
        <w:t>of</w:t>
      </w:r>
      <w:r w:rsidR="003F76A7" w:rsidRPr="00574CF8">
        <w:rPr>
          <w:b/>
          <w:bCs/>
          <w:color w:val="auto"/>
        </w:rPr>
        <w:t xml:space="preserve"> diverse</w:t>
      </w:r>
      <w:r w:rsidR="00975374" w:rsidRPr="00574CF8">
        <w:rPr>
          <w:b/>
          <w:bCs/>
          <w:color w:val="auto"/>
        </w:rPr>
        <w:t xml:space="preserve"> </w:t>
      </w:r>
      <w:r w:rsidR="00C1542D" w:rsidRPr="00574CF8">
        <w:rPr>
          <w:b/>
          <w:bCs/>
          <w:color w:val="auto"/>
        </w:rPr>
        <w:t xml:space="preserve">people with </w:t>
      </w:r>
      <w:r w:rsidR="00D7471A" w:rsidRPr="00574CF8">
        <w:rPr>
          <w:b/>
          <w:bCs/>
          <w:color w:val="auto"/>
        </w:rPr>
        <w:t>disability</w:t>
      </w:r>
      <w:r w:rsidR="00D7471A" w:rsidRPr="00574CF8">
        <w:rPr>
          <w:color w:val="auto"/>
        </w:rPr>
        <w:t xml:space="preserve"> </w:t>
      </w:r>
      <w:r w:rsidR="00C1542D" w:rsidRPr="00574CF8">
        <w:rPr>
          <w:color w:val="auto"/>
        </w:rPr>
        <w:t xml:space="preserve">to enable </w:t>
      </w:r>
      <w:r w:rsidRPr="00574CF8">
        <w:rPr>
          <w:color w:val="auto"/>
        </w:rPr>
        <w:t>equal</w:t>
      </w:r>
      <w:r w:rsidR="00C1542D" w:rsidRPr="00574CF8">
        <w:rPr>
          <w:color w:val="auto"/>
        </w:rPr>
        <w:t xml:space="preserve"> </w:t>
      </w:r>
      <w:r w:rsidRPr="00574CF8">
        <w:rPr>
          <w:color w:val="auto"/>
        </w:rPr>
        <w:t>participation</w:t>
      </w:r>
      <w:r w:rsidR="00C1542D" w:rsidRPr="00574CF8">
        <w:rPr>
          <w:color w:val="auto"/>
        </w:rPr>
        <w:t xml:space="preserve"> and benefit from the investment. </w:t>
      </w:r>
    </w:p>
    <w:p w14:paraId="22345245" w14:textId="60434152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Amplify</w:t>
      </w:r>
      <w:r w:rsidR="00C1542D" w:rsidRPr="00574CF8">
        <w:rPr>
          <w:b/>
          <w:bCs/>
          <w:color w:val="auto"/>
        </w:rPr>
        <w:t xml:space="preserve"> the </w:t>
      </w:r>
      <w:r w:rsidR="00975374" w:rsidRPr="00574CF8">
        <w:rPr>
          <w:b/>
          <w:bCs/>
          <w:color w:val="auto"/>
        </w:rPr>
        <w:t>perspectives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 xml:space="preserve">of people with </w:t>
      </w:r>
      <w:r w:rsidR="00D7471A" w:rsidRPr="00574CF8">
        <w:rPr>
          <w:b/>
          <w:bCs/>
          <w:color w:val="auto"/>
        </w:rPr>
        <w:t>disability</w:t>
      </w:r>
      <w:r w:rsidR="00D7471A" w:rsidRPr="00574CF8">
        <w:rPr>
          <w:color w:val="auto"/>
        </w:rPr>
        <w:t xml:space="preserve"> </w:t>
      </w:r>
      <w:r w:rsidR="00C1542D" w:rsidRPr="00574CF8">
        <w:rPr>
          <w:color w:val="auto"/>
        </w:rPr>
        <w:t xml:space="preserve">and increase their </w:t>
      </w:r>
      <w:r w:rsidRPr="00574CF8">
        <w:rPr>
          <w:color w:val="auto"/>
        </w:rPr>
        <w:t>role</w:t>
      </w:r>
      <w:r w:rsidR="00C1542D" w:rsidRPr="00574CF8">
        <w:rPr>
          <w:color w:val="auto"/>
        </w:rPr>
        <w:t xml:space="preserve"> in decision-making</w:t>
      </w:r>
      <w:r w:rsidR="00675746" w:rsidRPr="00574CF8">
        <w:rPr>
          <w:color w:val="auto"/>
        </w:rPr>
        <w:t>.</w:t>
      </w:r>
    </w:p>
    <w:p w14:paraId="4C44DE82" w14:textId="7DFFA26C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Support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>capacity development of OPDs</w:t>
      </w:r>
      <w:r w:rsidR="006D18D5" w:rsidRPr="00574CF8">
        <w:rPr>
          <w:color w:val="auto"/>
        </w:rPr>
        <w:t xml:space="preserve">, </w:t>
      </w:r>
      <w:r w:rsidRPr="00574CF8">
        <w:rPr>
          <w:color w:val="auto"/>
        </w:rPr>
        <w:t>focusing</w:t>
      </w:r>
      <w:r w:rsidR="006D18D5" w:rsidRPr="00574CF8">
        <w:rPr>
          <w:color w:val="auto"/>
        </w:rPr>
        <w:t xml:space="preserve"> on </w:t>
      </w:r>
      <w:r w:rsidR="00C1542D" w:rsidRPr="00574CF8">
        <w:rPr>
          <w:color w:val="auto"/>
        </w:rPr>
        <w:t>shared priorities</w:t>
      </w:r>
      <w:r w:rsidR="00675746" w:rsidRPr="00574CF8">
        <w:rPr>
          <w:color w:val="auto"/>
        </w:rPr>
        <w:t>.</w:t>
      </w:r>
    </w:p>
    <w:p w14:paraId="0918F8F9" w14:textId="22D67B7B" w:rsidR="00C1542D" w:rsidRPr="00574CF8" w:rsidRDefault="00C1542D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Support partners and strengthen local capacity</w:t>
      </w:r>
      <w:r w:rsidRPr="00574CF8">
        <w:rPr>
          <w:color w:val="auto"/>
        </w:rPr>
        <w:t xml:space="preserve"> to progress disability equity objectives.</w:t>
      </w:r>
    </w:p>
    <w:p w14:paraId="04155B31" w14:textId="0D3EBE5E" w:rsidR="00DA4AE4" w:rsidRPr="00574CF8" w:rsidRDefault="004A6A81" w:rsidP="0074672D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.3.1 Development context and situational analysis </w:t>
      </w:r>
      <w:r w:rsidR="00657F10" w:rsidRPr="00574CF8">
        <w:rPr>
          <w:color w:val="auto"/>
        </w:rPr>
        <w:t>(What problem are we addressing?)</w:t>
      </w:r>
    </w:p>
    <w:p w14:paraId="7A6D4794" w14:textId="2649CC9D" w:rsidR="00C1542D" w:rsidRPr="00574CF8" w:rsidRDefault="00C1542D" w:rsidP="00C1542D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This section should reflect the findings of the disability analysis</w:t>
      </w:r>
      <w:r w:rsidR="005F702A" w:rsidRPr="00574CF8">
        <w:rPr>
          <w:rFonts w:ascii="Calibri Light" w:eastAsia="Calibri" w:hAnsi="Calibri Light" w:cs="Calibri Light"/>
          <w:color w:val="auto"/>
          <w:szCs w:val="21"/>
        </w:rPr>
        <w:t xml:space="preserve"> and</w:t>
      </w:r>
      <w:r w:rsidRPr="00574CF8">
        <w:rPr>
          <w:rFonts w:ascii="Calibri Light" w:eastAsia="Calibri" w:hAnsi="Calibri Light" w:cs="Calibri Light"/>
          <w:color w:val="auto"/>
          <w:szCs w:val="21"/>
        </w:rPr>
        <w:t>:</w:t>
      </w:r>
    </w:p>
    <w:p w14:paraId="4D5FFDFD" w14:textId="683E04BE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Identify b</w:t>
      </w:r>
      <w:r w:rsidR="00C1542D" w:rsidRPr="00574CF8">
        <w:rPr>
          <w:b/>
          <w:bCs/>
          <w:color w:val="auto"/>
        </w:rPr>
        <w:t>arriers and opportunities</w:t>
      </w:r>
      <w:r w:rsidR="00C1542D" w:rsidRPr="00574CF8">
        <w:rPr>
          <w:color w:val="auto"/>
        </w:rPr>
        <w:t xml:space="preserve"> for </w:t>
      </w:r>
      <w:r w:rsidR="00675746" w:rsidRPr="00574CF8">
        <w:rPr>
          <w:color w:val="auto"/>
        </w:rPr>
        <w:t xml:space="preserve">diverse </w:t>
      </w:r>
      <w:r w:rsidR="00C1542D" w:rsidRPr="00574CF8">
        <w:rPr>
          <w:color w:val="auto"/>
        </w:rPr>
        <w:t xml:space="preserve">people with </w:t>
      </w:r>
      <w:r w:rsidR="00D7471A" w:rsidRPr="00574CF8">
        <w:rPr>
          <w:color w:val="auto"/>
        </w:rPr>
        <w:t xml:space="preserve">disability </w:t>
      </w:r>
      <w:r w:rsidR="00C1542D" w:rsidRPr="00574CF8">
        <w:rPr>
          <w:color w:val="auto"/>
        </w:rPr>
        <w:t xml:space="preserve">relevant to the </w:t>
      </w:r>
      <w:r w:rsidRPr="00574CF8">
        <w:rPr>
          <w:color w:val="auto"/>
        </w:rPr>
        <w:t xml:space="preserve">investment </w:t>
      </w:r>
      <w:r w:rsidR="00C1542D" w:rsidRPr="00574CF8">
        <w:rPr>
          <w:color w:val="auto"/>
        </w:rPr>
        <w:t xml:space="preserve">context. </w:t>
      </w:r>
    </w:p>
    <w:p w14:paraId="769FAB19" w14:textId="509A39D9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Include d</w:t>
      </w:r>
      <w:r w:rsidR="00C1542D" w:rsidRPr="00574CF8">
        <w:rPr>
          <w:b/>
          <w:bCs/>
          <w:color w:val="auto"/>
        </w:rPr>
        <w:t>isability-disaggregated data</w:t>
      </w:r>
      <w:r w:rsidR="00C1542D" w:rsidRPr="00574CF8">
        <w:rPr>
          <w:color w:val="auto"/>
        </w:rPr>
        <w:t xml:space="preserve"> </w:t>
      </w:r>
      <w:r w:rsidR="001201CC" w:rsidRPr="00574CF8">
        <w:rPr>
          <w:color w:val="auto"/>
        </w:rPr>
        <w:t xml:space="preserve">most </w:t>
      </w:r>
      <w:r w:rsidR="00C1542D" w:rsidRPr="00574CF8">
        <w:rPr>
          <w:color w:val="auto"/>
        </w:rPr>
        <w:t>relevant to the situational analysis.</w:t>
      </w:r>
    </w:p>
    <w:p w14:paraId="6673D644" w14:textId="5BF3119E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Draw on e</w:t>
      </w:r>
      <w:r w:rsidR="00C1542D" w:rsidRPr="00574CF8">
        <w:rPr>
          <w:b/>
          <w:bCs/>
          <w:color w:val="auto"/>
        </w:rPr>
        <w:t>vidence and lessons learned</w:t>
      </w:r>
      <w:r w:rsidR="00C1542D" w:rsidRPr="00574CF8">
        <w:rPr>
          <w:color w:val="auto"/>
        </w:rPr>
        <w:t xml:space="preserve"> </w:t>
      </w:r>
      <w:r w:rsidR="00675746" w:rsidRPr="00574CF8">
        <w:rPr>
          <w:color w:val="auto"/>
        </w:rPr>
        <w:t>from</w:t>
      </w:r>
      <w:r w:rsidR="00C1542D" w:rsidRPr="00574CF8">
        <w:rPr>
          <w:color w:val="auto"/>
        </w:rPr>
        <w:t xml:space="preserve"> previous </w:t>
      </w:r>
      <w:r w:rsidRPr="00574CF8">
        <w:rPr>
          <w:color w:val="auto"/>
        </w:rPr>
        <w:t xml:space="preserve">disability equity </w:t>
      </w:r>
      <w:r w:rsidR="00C1542D" w:rsidRPr="00574CF8">
        <w:rPr>
          <w:color w:val="auto"/>
        </w:rPr>
        <w:t>efforts.</w:t>
      </w:r>
    </w:p>
    <w:p w14:paraId="01D62548" w14:textId="697850B3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.3.2 Strategic intent and rationale </w:t>
      </w:r>
      <w:r w:rsidR="00657F10" w:rsidRPr="00574CF8">
        <w:rPr>
          <w:color w:val="auto"/>
        </w:rPr>
        <w:t>(Why?)</w:t>
      </w:r>
    </w:p>
    <w:p w14:paraId="73815F41" w14:textId="77777777" w:rsidR="00C1542D" w:rsidRPr="00574CF8" w:rsidRDefault="00C1542D" w:rsidP="00C1542D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This section should:</w:t>
      </w:r>
    </w:p>
    <w:p w14:paraId="453033DA" w14:textId="58A61E41" w:rsidR="00C1542D" w:rsidRPr="00574CF8" w:rsidRDefault="005F702A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Reference</w:t>
      </w:r>
      <w:r w:rsidR="00C1542D" w:rsidRPr="00574CF8">
        <w:rPr>
          <w:b/>
          <w:bCs/>
          <w:color w:val="auto"/>
        </w:rPr>
        <w:t xml:space="preserve"> Australia’s and partner government/organisation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 xml:space="preserve">policy priorities </w:t>
      </w:r>
      <w:r w:rsidR="00C1542D" w:rsidRPr="00574CF8">
        <w:rPr>
          <w:color w:val="auto"/>
        </w:rPr>
        <w:t>on disability equity and</w:t>
      </w:r>
      <w:r w:rsidR="00423637" w:rsidRPr="00574CF8">
        <w:rPr>
          <w:color w:val="auto"/>
        </w:rPr>
        <w:t xml:space="preserve"> rights,</w:t>
      </w:r>
      <w:r w:rsidR="00C1542D" w:rsidRPr="00574CF8">
        <w:rPr>
          <w:color w:val="auto"/>
        </w:rPr>
        <w:t xml:space="preserve"> particularly </w:t>
      </w:r>
      <w:r w:rsidRPr="00574CF8">
        <w:rPr>
          <w:color w:val="auto"/>
        </w:rPr>
        <w:t>those aligned with the investment’s</w:t>
      </w:r>
      <w:r w:rsidR="00C1542D" w:rsidRPr="00574CF8">
        <w:rPr>
          <w:color w:val="auto"/>
        </w:rPr>
        <w:t xml:space="preserve"> focus </w:t>
      </w:r>
      <w:r w:rsidRPr="00574CF8">
        <w:rPr>
          <w:color w:val="auto"/>
        </w:rPr>
        <w:t>areas</w:t>
      </w:r>
      <w:r w:rsidR="00675746" w:rsidRPr="00574CF8">
        <w:rPr>
          <w:color w:val="auto"/>
        </w:rPr>
        <w:t>.</w:t>
      </w:r>
    </w:p>
    <w:p w14:paraId="654219F8" w14:textId="20E6E56A" w:rsidR="00C1542D" w:rsidRPr="00574CF8" w:rsidRDefault="00C1542D" w:rsidP="00C1542D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 xml:space="preserve">Identify </w:t>
      </w:r>
      <w:r w:rsidR="005F702A" w:rsidRPr="00574CF8">
        <w:rPr>
          <w:b/>
          <w:bCs/>
          <w:color w:val="auto"/>
        </w:rPr>
        <w:t>where and how</w:t>
      </w:r>
      <w:r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>disability equity will be integrated</w:t>
      </w:r>
      <w:r w:rsidRPr="00574CF8">
        <w:rPr>
          <w:color w:val="auto"/>
        </w:rPr>
        <w:t xml:space="preserve"> </w:t>
      </w:r>
      <w:r w:rsidR="005F702A" w:rsidRPr="00574CF8">
        <w:rPr>
          <w:color w:val="auto"/>
        </w:rPr>
        <w:t>across the investment</w:t>
      </w:r>
      <w:r w:rsidRPr="00574CF8">
        <w:rPr>
          <w:color w:val="auto"/>
        </w:rPr>
        <w:t>.</w:t>
      </w:r>
    </w:p>
    <w:p w14:paraId="01A736BF" w14:textId="30416FD4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.3.3 Proposed outcomes and investment options </w:t>
      </w:r>
      <w:r w:rsidR="000F441D" w:rsidRPr="00574CF8">
        <w:rPr>
          <w:color w:val="auto"/>
        </w:rPr>
        <w:t>(What?)</w:t>
      </w:r>
    </w:p>
    <w:p w14:paraId="4CF2D134" w14:textId="77777777" w:rsidR="005F702A" w:rsidRPr="00574CF8" w:rsidRDefault="00014E22" w:rsidP="00C1542D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The program logic</w:t>
      </w:r>
      <w:r w:rsidR="00415558" w:rsidRPr="00574CF8">
        <w:rPr>
          <w:rFonts w:ascii="Calibri Light" w:eastAsia="Calibri" w:hAnsi="Calibri Light" w:cs="Calibri Light"/>
          <w:color w:val="auto"/>
          <w:szCs w:val="21"/>
        </w:rPr>
        <w:t xml:space="preserve"> should reflect opportunities identified in the disability analysis </w:t>
      </w:r>
      <w:r w:rsidR="00B71860" w:rsidRPr="00574CF8">
        <w:rPr>
          <w:rFonts w:ascii="Calibri Light" w:eastAsia="Calibri" w:hAnsi="Calibri Light" w:cs="Calibri Light"/>
          <w:color w:val="auto"/>
          <w:szCs w:val="21"/>
        </w:rPr>
        <w:t xml:space="preserve">and embed </w:t>
      </w:r>
      <w:r w:rsidR="00FC4B6D" w:rsidRPr="00574CF8">
        <w:rPr>
          <w:rFonts w:ascii="Calibri Light" w:eastAsia="Calibri" w:hAnsi="Calibri Light" w:cs="Calibri Light"/>
          <w:color w:val="auto"/>
          <w:szCs w:val="21"/>
        </w:rPr>
        <w:t xml:space="preserve">disability equity objectives.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>This will ideally</w:t>
      </w:r>
      <w:r w:rsidR="005F702A" w:rsidRPr="00574CF8">
        <w:rPr>
          <w:rFonts w:ascii="Calibri Light" w:eastAsia="Calibri" w:hAnsi="Calibri Light" w:cs="Calibri Light"/>
          <w:color w:val="auto"/>
          <w:szCs w:val="21"/>
        </w:rPr>
        <w:t>: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</w:p>
    <w:p w14:paraId="782DD577" w14:textId="2EAA0F62" w:rsidR="005F702A" w:rsidRPr="00574CF8" w:rsidRDefault="005F702A" w:rsidP="005F702A">
      <w:pPr>
        <w:pStyle w:val="BodyCopyBullets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 xml:space="preserve">Include </w:t>
      </w:r>
      <w:r w:rsidR="00C1542D" w:rsidRPr="00574CF8">
        <w:rPr>
          <w:b/>
          <w:bCs/>
          <w:color w:val="auto"/>
        </w:rPr>
        <w:t>disability equity in program outcome</w:t>
      </w:r>
      <w:r w:rsidRPr="00574CF8">
        <w:rPr>
          <w:b/>
          <w:bCs/>
          <w:color w:val="auto"/>
        </w:rPr>
        <w:t xml:space="preserve">s, </w:t>
      </w:r>
      <w:r w:rsidRPr="00574CF8">
        <w:rPr>
          <w:color w:val="auto"/>
        </w:rPr>
        <w:t xml:space="preserve">such as </w:t>
      </w:r>
      <w:r w:rsidR="00C1542D" w:rsidRPr="00574CF8">
        <w:rPr>
          <w:color w:val="auto"/>
        </w:rPr>
        <w:t xml:space="preserve">End of Program </w:t>
      </w:r>
      <w:r w:rsidRPr="00574CF8">
        <w:rPr>
          <w:color w:val="auto"/>
        </w:rPr>
        <w:t xml:space="preserve">or </w:t>
      </w:r>
      <w:r w:rsidR="00C1542D" w:rsidRPr="00574CF8">
        <w:rPr>
          <w:color w:val="auto"/>
        </w:rPr>
        <w:t>Intermediate Outcome</w:t>
      </w:r>
      <w:r w:rsidRPr="00574CF8">
        <w:rPr>
          <w:color w:val="auto"/>
        </w:rPr>
        <w:t>s.</w:t>
      </w:r>
    </w:p>
    <w:p w14:paraId="3EE2A890" w14:textId="1F30F336" w:rsidR="00C1542D" w:rsidRPr="00574CF8" w:rsidRDefault="005F702A" w:rsidP="005F702A">
      <w:pPr>
        <w:pStyle w:val="BodyCopyBullets"/>
        <w:ind w:left="340" w:hanging="340"/>
        <w:rPr>
          <w:b/>
          <w:bCs/>
          <w:color w:val="auto"/>
        </w:rPr>
      </w:pPr>
      <w:r w:rsidRPr="00574CF8">
        <w:rPr>
          <w:b/>
          <w:bCs/>
          <w:color w:val="auto"/>
        </w:rPr>
        <w:t xml:space="preserve">Commit </w:t>
      </w:r>
      <w:r w:rsidR="00C1542D" w:rsidRPr="00574CF8">
        <w:rPr>
          <w:b/>
          <w:bCs/>
          <w:color w:val="auto"/>
        </w:rPr>
        <w:t xml:space="preserve">to developing a disability equity </w:t>
      </w:r>
      <w:r w:rsidR="00615414" w:rsidRPr="00574CF8">
        <w:rPr>
          <w:b/>
          <w:bCs/>
          <w:color w:val="auto"/>
        </w:rPr>
        <w:t xml:space="preserve">(or GEDSI) </w:t>
      </w:r>
      <w:r w:rsidR="00C1542D" w:rsidRPr="00574CF8">
        <w:rPr>
          <w:b/>
          <w:bCs/>
          <w:color w:val="auto"/>
        </w:rPr>
        <w:t xml:space="preserve">strategy or action plan. </w:t>
      </w:r>
    </w:p>
    <w:p w14:paraId="6AABBCA1" w14:textId="248B96BB" w:rsidR="005F702A" w:rsidRPr="00574CF8" w:rsidRDefault="005F702A" w:rsidP="005F702A">
      <w:pPr>
        <w:pStyle w:val="BodyCopyBullets"/>
        <w:ind w:left="340" w:hanging="340"/>
        <w:rPr>
          <w:b/>
          <w:bCs/>
          <w:color w:val="auto"/>
        </w:rPr>
      </w:pPr>
      <w:r w:rsidRPr="00574CF8">
        <w:rPr>
          <w:b/>
          <w:bCs/>
          <w:color w:val="auto"/>
        </w:rPr>
        <w:t xml:space="preserve">Incorporate opportunities for meaningful engagement with people with disability and/or OPDs, </w:t>
      </w:r>
      <w:r w:rsidRPr="00574CF8">
        <w:rPr>
          <w:color w:val="auto"/>
        </w:rPr>
        <w:t>and supported shared priorities and capacity development.</w:t>
      </w:r>
    </w:p>
    <w:p w14:paraId="1DB34CB3" w14:textId="038FC063" w:rsidR="00C1542D" w:rsidRPr="00574CF8" w:rsidRDefault="00C1542D" w:rsidP="00C8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120"/>
        <w:rPr>
          <w:rFonts w:ascii="Calibri" w:eastAsia="Calibri" w:hAnsi="Calibri" w:cs="Calibri"/>
          <w:color w:val="auto"/>
          <w:szCs w:val="21"/>
        </w:rPr>
      </w:pPr>
      <w:r w:rsidRPr="00574CF8">
        <w:rPr>
          <w:rFonts w:ascii="Calibri" w:eastAsia="Calibri" w:hAnsi="Calibri" w:cs="Calibri"/>
          <w:color w:val="auto"/>
          <w:szCs w:val="21"/>
        </w:rPr>
        <w:t xml:space="preserve">Where gender equality or GEDSI is </w:t>
      </w:r>
      <w:r w:rsidR="005F702A" w:rsidRPr="00574CF8">
        <w:rPr>
          <w:rFonts w:ascii="Calibri" w:eastAsia="Calibri" w:hAnsi="Calibri" w:cs="Calibri"/>
          <w:color w:val="auto"/>
          <w:szCs w:val="21"/>
        </w:rPr>
        <w:t>referenced</w:t>
      </w:r>
      <w:r w:rsidR="00543A44" w:rsidRPr="00574CF8">
        <w:rPr>
          <w:rFonts w:ascii="Calibri" w:eastAsia="Calibri" w:hAnsi="Calibri" w:cs="Calibri"/>
          <w:color w:val="auto"/>
          <w:szCs w:val="21"/>
        </w:rPr>
        <w:t>,</w:t>
      </w:r>
      <w:r w:rsidRPr="00574CF8">
        <w:rPr>
          <w:rFonts w:ascii="Calibri" w:eastAsia="Calibri" w:hAnsi="Calibri" w:cs="Calibri"/>
          <w:color w:val="auto"/>
          <w:szCs w:val="21"/>
        </w:rPr>
        <w:t xml:space="preserve"> </w:t>
      </w:r>
      <w:r w:rsidRPr="00574CF8">
        <w:rPr>
          <w:rFonts w:ascii="Calibri" w:eastAsia="Calibri" w:hAnsi="Calibri" w:cs="Calibri"/>
          <w:b/>
          <w:bCs/>
          <w:color w:val="auto"/>
          <w:szCs w:val="21"/>
        </w:rPr>
        <w:t>explicitly mention</w:t>
      </w:r>
      <w:r w:rsidR="005F702A" w:rsidRPr="00574CF8">
        <w:rPr>
          <w:rFonts w:ascii="Calibri" w:eastAsia="Calibri" w:hAnsi="Calibri" w:cs="Calibri"/>
          <w:b/>
          <w:bCs/>
          <w:color w:val="auto"/>
          <w:szCs w:val="21"/>
        </w:rPr>
        <w:t>ing</w:t>
      </w:r>
      <w:r w:rsidRPr="00574CF8">
        <w:rPr>
          <w:rFonts w:ascii="Calibri" w:eastAsia="Calibri" w:hAnsi="Calibri" w:cs="Calibri"/>
          <w:b/>
          <w:bCs/>
          <w:color w:val="auto"/>
          <w:szCs w:val="21"/>
        </w:rPr>
        <w:t xml:space="preserve"> people with </w:t>
      </w:r>
      <w:r w:rsidR="00D7471A" w:rsidRPr="00574CF8">
        <w:rPr>
          <w:rFonts w:ascii="Calibri" w:hAnsi="Calibri" w:cs="Calibri"/>
          <w:b/>
          <w:bCs/>
          <w:color w:val="auto"/>
        </w:rPr>
        <w:t>disability</w:t>
      </w:r>
      <w:r w:rsidR="005F702A" w:rsidRPr="00574CF8">
        <w:rPr>
          <w:rFonts w:ascii="Calibri" w:hAnsi="Calibri" w:cs="Calibri"/>
          <w:b/>
          <w:bCs/>
          <w:color w:val="auto"/>
        </w:rPr>
        <w:t xml:space="preserve"> or disability equity</w:t>
      </w:r>
      <w:r w:rsidR="005F702A" w:rsidRPr="00574CF8">
        <w:rPr>
          <w:rFonts w:ascii="Calibri" w:hAnsi="Calibri" w:cs="Calibri"/>
          <w:color w:val="auto"/>
        </w:rPr>
        <w:t xml:space="preserve"> will strengthen the investment’s</w:t>
      </w:r>
      <w:r w:rsidRPr="00574CF8">
        <w:rPr>
          <w:rFonts w:ascii="Calibri" w:eastAsia="Calibri" w:hAnsi="Calibri" w:cs="Calibri"/>
          <w:color w:val="auto"/>
          <w:szCs w:val="21"/>
        </w:rPr>
        <w:t xml:space="preserve"> </w:t>
      </w:r>
      <w:r w:rsidR="00D7471A" w:rsidRPr="00574CF8">
        <w:rPr>
          <w:rFonts w:ascii="Calibri" w:eastAsia="Calibri" w:hAnsi="Calibri" w:cs="Calibri"/>
          <w:color w:val="auto"/>
          <w:szCs w:val="21"/>
        </w:rPr>
        <w:t xml:space="preserve">equity and </w:t>
      </w:r>
      <w:r w:rsidRPr="00574CF8">
        <w:rPr>
          <w:rFonts w:ascii="Calibri" w:eastAsia="Calibri" w:hAnsi="Calibri" w:cs="Calibri"/>
          <w:color w:val="auto"/>
          <w:szCs w:val="21"/>
        </w:rPr>
        <w:t>inclusion</w:t>
      </w:r>
      <w:r w:rsidR="005F702A" w:rsidRPr="00574CF8">
        <w:rPr>
          <w:rFonts w:ascii="Calibri" w:eastAsia="Calibri" w:hAnsi="Calibri" w:cs="Calibri"/>
          <w:color w:val="auto"/>
          <w:szCs w:val="21"/>
        </w:rPr>
        <w:t xml:space="preserve"> approach</w:t>
      </w:r>
      <w:r w:rsidRPr="00574CF8">
        <w:rPr>
          <w:rFonts w:ascii="Calibri" w:eastAsia="Calibri" w:hAnsi="Calibri" w:cs="Calibri"/>
          <w:color w:val="auto"/>
          <w:szCs w:val="21"/>
        </w:rPr>
        <w:t xml:space="preserve">. </w:t>
      </w:r>
    </w:p>
    <w:p w14:paraId="66A1C6BB" w14:textId="0224DFA3" w:rsidR="00703EA7" w:rsidRDefault="00703EA7" w:rsidP="00887FB7">
      <w:pPr>
        <w:spacing w:before="240" w:after="120"/>
        <w:rPr>
          <w:rFonts w:ascii="Calibri Light" w:eastAsia="Calibri" w:hAnsi="Calibri Light" w:cs="Calibri Light"/>
          <w:b/>
          <w:bCs/>
          <w:color w:val="auto"/>
          <w:szCs w:val="21"/>
        </w:rPr>
      </w:pPr>
      <w:r w:rsidRPr="00574CF8">
        <w:rPr>
          <w:rFonts w:ascii="Calibri Light" w:eastAsia="Calibri" w:hAnsi="Calibri Light" w:cs="Calibri Light"/>
          <w:b/>
          <w:bCs/>
          <w:color w:val="auto"/>
          <w:szCs w:val="21"/>
        </w:rPr>
        <w:t>Table 1: Examples of effective disability equity outcomes</w:t>
      </w:r>
    </w:p>
    <w:tbl>
      <w:tblPr>
        <w:tblStyle w:val="TableGrid"/>
        <w:tblW w:w="1020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574CF8" w:rsidRPr="00574CF8" w14:paraId="765B807B" w14:textId="77777777" w:rsidTr="005207A8">
        <w:trPr>
          <w:trHeight w:val="70"/>
        </w:trPr>
        <w:tc>
          <w:tcPr>
            <w:tcW w:w="5098" w:type="dxa"/>
            <w:shd w:val="clear" w:color="auto" w:fill="E7E6E6" w:themeFill="background2"/>
          </w:tcPr>
          <w:p w14:paraId="55877471" w14:textId="722E08A5" w:rsidR="00492C85" w:rsidRPr="00574CF8" w:rsidRDefault="00492C85" w:rsidP="00E1763D">
            <w:pPr>
              <w:pStyle w:val="TableHeading"/>
              <w:spacing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Disability equity outcome example</w:t>
            </w:r>
          </w:p>
        </w:tc>
        <w:tc>
          <w:tcPr>
            <w:tcW w:w="5103" w:type="dxa"/>
            <w:shd w:val="clear" w:color="auto" w:fill="E7E6E6" w:themeFill="background2"/>
          </w:tcPr>
          <w:p w14:paraId="488AE9BE" w14:textId="426143B5" w:rsidR="00492C85" w:rsidRPr="00574CF8" w:rsidRDefault="00B97784" w:rsidP="00E1763D">
            <w:pPr>
              <w:pStyle w:val="TableHeading"/>
              <w:spacing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Rationale</w:t>
            </w:r>
          </w:p>
        </w:tc>
      </w:tr>
      <w:tr w:rsidR="00574CF8" w:rsidRPr="00574CF8" w14:paraId="2010391C" w14:textId="77777777" w:rsidTr="00E1763D">
        <w:trPr>
          <w:trHeight w:val="772"/>
        </w:trPr>
        <w:tc>
          <w:tcPr>
            <w:tcW w:w="5098" w:type="dxa"/>
          </w:tcPr>
          <w:p w14:paraId="32E9E406" w14:textId="34CCA2E1" w:rsidR="00492C85" w:rsidRPr="00574CF8" w:rsidRDefault="00492C85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Communit</w:t>
            </w:r>
            <w:r w:rsidR="001A4BD2" w:rsidRPr="00574CF8">
              <w:rPr>
                <w:color w:val="auto"/>
              </w:rPr>
              <w:t>y members</w:t>
            </w:r>
            <w:r w:rsidR="005A6340" w:rsidRPr="00574CF8">
              <w:rPr>
                <w:color w:val="auto"/>
              </w:rPr>
              <w:t xml:space="preserve"> </w:t>
            </w:r>
            <w:r w:rsidR="001A4BD2" w:rsidRPr="00574CF8">
              <w:rPr>
                <w:color w:val="auto"/>
              </w:rPr>
              <w:t>recognise</w:t>
            </w:r>
            <w:r w:rsidR="005A6340" w:rsidRPr="00574CF8">
              <w:rPr>
                <w:color w:val="auto"/>
              </w:rPr>
              <w:t xml:space="preserve"> people with disability as active contributors and leaders within the community.</w:t>
            </w:r>
            <w:r w:rsidRPr="00574CF8">
              <w:rPr>
                <w:color w:val="auto"/>
              </w:rPr>
              <w:t xml:space="preserve"> </w:t>
            </w:r>
          </w:p>
        </w:tc>
        <w:tc>
          <w:tcPr>
            <w:tcW w:w="5103" w:type="dxa"/>
          </w:tcPr>
          <w:p w14:paraId="316E4618" w14:textId="7293005F" w:rsidR="00492C85" w:rsidRPr="00574CF8" w:rsidRDefault="005A6340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Contributes to addressing harmful disability stereotypes and reinforces positive narratives of capability, agency and diversity.</w:t>
            </w:r>
          </w:p>
        </w:tc>
      </w:tr>
      <w:tr w:rsidR="00574CF8" w:rsidRPr="00574CF8" w14:paraId="2E5A3858" w14:textId="77777777" w:rsidTr="005207A8">
        <w:trPr>
          <w:trHeight w:val="426"/>
        </w:trPr>
        <w:tc>
          <w:tcPr>
            <w:tcW w:w="5098" w:type="dxa"/>
          </w:tcPr>
          <w:p w14:paraId="44F01C02" w14:textId="2511945F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Partners implement equitable systems that enable people with disability – especially women with disability – to lead, influence decision-making, and access economic opportunities.</w:t>
            </w:r>
          </w:p>
        </w:tc>
        <w:tc>
          <w:tcPr>
            <w:tcW w:w="5103" w:type="dxa"/>
          </w:tcPr>
          <w:p w14:paraId="4A6F63F3" w14:textId="576A002E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Emphasises disability equity as part of systemic change rather than purely about access.</w:t>
            </w:r>
          </w:p>
        </w:tc>
      </w:tr>
      <w:tr w:rsidR="00574CF8" w:rsidRPr="00574CF8" w14:paraId="63D23BAF" w14:textId="77777777" w:rsidTr="005207A8">
        <w:trPr>
          <w:trHeight w:val="92"/>
        </w:trPr>
        <w:tc>
          <w:tcPr>
            <w:tcW w:w="5098" w:type="dxa"/>
          </w:tcPr>
          <w:p w14:paraId="5630645B" w14:textId="0E04BAA1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bookmarkStart w:id="1" w:name="_Hlk156835351"/>
            <w:r w:rsidRPr="00574CF8">
              <w:rPr>
                <w:color w:val="auto"/>
              </w:rPr>
              <w:t xml:space="preserve">Increased access to services for women and children, including those with disability, in targeted health care facilities. </w:t>
            </w:r>
            <w:bookmarkEnd w:id="1"/>
          </w:p>
        </w:tc>
        <w:tc>
          <w:tcPr>
            <w:tcW w:w="5103" w:type="dxa"/>
          </w:tcPr>
          <w:p w14:paraId="1986CF7A" w14:textId="42E5B91A" w:rsidR="00543A44" w:rsidRPr="00574CF8" w:rsidRDefault="007C1C72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Recognises that women and children with disability require specific interventions to ensure equitable access to health care and</w:t>
            </w:r>
            <w:r w:rsidR="00543A44" w:rsidRPr="00574CF8">
              <w:rPr>
                <w:color w:val="auto"/>
              </w:rPr>
              <w:t xml:space="preserve"> services.</w:t>
            </w:r>
          </w:p>
        </w:tc>
      </w:tr>
      <w:tr w:rsidR="00574CF8" w:rsidRPr="00574CF8" w14:paraId="1BE53105" w14:textId="77777777" w:rsidTr="005207A8">
        <w:trPr>
          <w:trHeight w:val="16"/>
        </w:trPr>
        <w:tc>
          <w:tcPr>
            <w:tcW w:w="5098" w:type="dxa"/>
          </w:tcPr>
          <w:p w14:paraId="128EF154" w14:textId="66786CB5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Improved learning outcomes for all boys and girls, including those with disability, at targeted year levels.</w:t>
            </w:r>
          </w:p>
        </w:tc>
        <w:tc>
          <w:tcPr>
            <w:tcW w:w="5103" w:type="dxa"/>
          </w:tcPr>
          <w:p w14:paraId="10CCCD1B" w14:textId="609721A8" w:rsidR="00543A44" w:rsidRPr="00574CF8" w:rsidRDefault="00BD1D3C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Promotes inclusive education by ensuring that children with disability are supported to achieve equitable learning outcomes alongside peers.</w:t>
            </w:r>
          </w:p>
        </w:tc>
      </w:tr>
      <w:tr w:rsidR="00574CF8" w:rsidRPr="00574CF8" w14:paraId="05E0F95D" w14:textId="77777777" w:rsidTr="005207A8">
        <w:trPr>
          <w:trHeight w:val="382"/>
        </w:trPr>
        <w:tc>
          <w:tcPr>
            <w:tcW w:w="5098" w:type="dxa"/>
          </w:tcPr>
          <w:p w14:paraId="429646BC" w14:textId="2A3A3913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Infrastructure policies, design and delivery embed accessibility and universal design principles, resulting in equitable access and use of public spaces for diverse people with disability.</w:t>
            </w:r>
          </w:p>
        </w:tc>
        <w:tc>
          <w:tcPr>
            <w:tcW w:w="5103" w:type="dxa"/>
          </w:tcPr>
          <w:p w14:paraId="1A2483CC" w14:textId="2662F6EE" w:rsidR="00543A44" w:rsidRPr="00574CF8" w:rsidRDefault="00BD1D3C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Removes physical and systemic barriers to enable social and economic inclusion for people with disability.</w:t>
            </w:r>
          </w:p>
        </w:tc>
      </w:tr>
      <w:tr w:rsidR="00574CF8" w:rsidRPr="00574CF8" w14:paraId="42087EBF" w14:textId="77777777" w:rsidTr="005207A8">
        <w:trPr>
          <w:trHeight w:val="1037"/>
        </w:trPr>
        <w:tc>
          <w:tcPr>
            <w:tcW w:w="5098" w:type="dxa"/>
          </w:tcPr>
          <w:p w14:paraId="110AE097" w14:textId="0724D7F8" w:rsidR="00543A44" w:rsidRPr="00574CF8" w:rsidRDefault="00543A44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 xml:space="preserve">Women, youth, children, people with disability and other at-risk groups actively shape and access inclusive disaster risk reduction systems that remove barriers and </w:t>
            </w:r>
            <w:r w:rsidR="00B251A8" w:rsidRPr="00574CF8">
              <w:rPr>
                <w:color w:val="auto"/>
              </w:rPr>
              <w:t>build</w:t>
            </w:r>
            <w:r w:rsidRPr="00574CF8">
              <w:rPr>
                <w:color w:val="auto"/>
              </w:rPr>
              <w:t xml:space="preserve"> their resilience and preparedness.</w:t>
            </w:r>
          </w:p>
        </w:tc>
        <w:tc>
          <w:tcPr>
            <w:tcW w:w="5103" w:type="dxa"/>
          </w:tcPr>
          <w:p w14:paraId="6956CD22" w14:textId="5CB5A494" w:rsidR="00543A44" w:rsidRPr="00574CF8" w:rsidRDefault="00BD1D3C" w:rsidP="00E1763D">
            <w:pPr>
              <w:pStyle w:val="BodyCopyBullets"/>
              <w:numPr>
                <w:ilvl w:val="0"/>
                <w:numId w:val="0"/>
              </w:numPr>
              <w:spacing w:before="0" w:after="0"/>
              <w:contextualSpacing/>
              <w:rPr>
                <w:color w:val="auto"/>
              </w:rPr>
            </w:pPr>
            <w:r w:rsidRPr="00574CF8">
              <w:rPr>
                <w:color w:val="auto"/>
              </w:rPr>
              <w:t>Recognises the leadership and agency of people with disability in building community resilience.</w:t>
            </w:r>
          </w:p>
        </w:tc>
      </w:tr>
    </w:tbl>
    <w:p w14:paraId="5F6E3E59" w14:textId="1B0528EF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>.3.4 Implementation arrangements</w:t>
      </w:r>
      <w:r w:rsidR="00BE7EFE" w:rsidRPr="00574CF8">
        <w:rPr>
          <w:color w:val="auto"/>
        </w:rPr>
        <w:t xml:space="preserve"> (How will DFAT engage?)</w:t>
      </w:r>
      <w:r w:rsidR="00DA4AE4" w:rsidRPr="00574CF8">
        <w:rPr>
          <w:color w:val="auto"/>
        </w:rPr>
        <w:t xml:space="preserve"> </w:t>
      </w:r>
    </w:p>
    <w:p w14:paraId="3906B5AB" w14:textId="251BE39B" w:rsidR="00C1542D" w:rsidRPr="00574CF8" w:rsidRDefault="00B5696F" w:rsidP="00C1542D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This section</w:t>
      </w:r>
      <w:r w:rsidR="00AB4AC1" w:rsidRPr="00574CF8">
        <w:rPr>
          <w:rFonts w:ascii="Calibri Light" w:eastAsia="Calibri" w:hAnsi="Calibri Light" w:cs="Calibri Light"/>
          <w:color w:val="auto"/>
          <w:szCs w:val="21"/>
        </w:rPr>
        <w:t xml:space="preserve"> should </w:t>
      </w:r>
      <w:r w:rsidR="00BD1D3C" w:rsidRPr="00574CF8">
        <w:rPr>
          <w:rFonts w:ascii="Calibri Light" w:eastAsia="Calibri" w:hAnsi="Calibri Light" w:cs="Calibri Light"/>
          <w:color w:val="auto"/>
          <w:szCs w:val="21"/>
        </w:rPr>
        <w:t>include</w:t>
      </w:r>
      <w:r w:rsidR="00AB4AC1" w:rsidRPr="00574CF8">
        <w:rPr>
          <w:rFonts w:ascii="Calibri Light" w:eastAsia="Calibri" w:hAnsi="Calibri Light" w:cs="Calibri Light"/>
          <w:color w:val="auto"/>
          <w:szCs w:val="21"/>
        </w:rPr>
        <w:t xml:space="preserve">: </w:t>
      </w:r>
    </w:p>
    <w:p w14:paraId="62896194" w14:textId="4142401F" w:rsidR="00C1542D" w:rsidRPr="00574CF8" w:rsidRDefault="00BD1D3C" w:rsidP="00933D87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 xml:space="preserve">Plans for the inclusion </w:t>
      </w:r>
      <w:r w:rsidR="001A4BD2" w:rsidRPr="00574CF8">
        <w:rPr>
          <w:b/>
          <w:bCs/>
          <w:color w:val="auto"/>
        </w:rPr>
        <w:t xml:space="preserve">of </w:t>
      </w:r>
      <w:r w:rsidR="00AE0762" w:rsidRPr="00574CF8">
        <w:rPr>
          <w:b/>
          <w:bCs/>
          <w:color w:val="auto"/>
        </w:rPr>
        <w:t xml:space="preserve">diverse </w:t>
      </w:r>
      <w:r w:rsidR="00C1542D" w:rsidRPr="00574CF8">
        <w:rPr>
          <w:b/>
          <w:bCs/>
          <w:color w:val="auto"/>
        </w:rPr>
        <w:t>people with disabilit</w:t>
      </w:r>
      <w:r w:rsidR="00D7471A" w:rsidRPr="00574CF8">
        <w:rPr>
          <w:b/>
          <w:bCs/>
          <w:color w:val="auto"/>
        </w:rPr>
        <w:t>y</w:t>
      </w:r>
      <w:r w:rsidR="00C1542D" w:rsidRPr="00574CF8">
        <w:rPr>
          <w:b/>
          <w:bCs/>
          <w:color w:val="auto"/>
        </w:rPr>
        <w:t xml:space="preserve">/OPDs in governance </w:t>
      </w:r>
      <w:r w:rsidRPr="00574CF8">
        <w:rPr>
          <w:b/>
          <w:bCs/>
          <w:color w:val="auto"/>
        </w:rPr>
        <w:t>structures</w:t>
      </w:r>
      <w:r w:rsidR="00C1542D" w:rsidRPr="00574CF8">
        <w:rPr>
          <w:color w:val="auto"/>
        </w:rPr>
        <w:t xml:space="preserve"> </w:t>
      </w:r>
      <w:r w:rsidRPr="00574CF8">
        <w:rPr>
          <w:color w:val="auto"/>
        </w:rPr>
        <w:t>to ensure their</w:t>
      </w:r>
      <w:r w:rsidR="00C1542D" w:rsidRPr="00574CF8">
        <w:rPr>
          <w:color w:val="auto"/>
        </w:rPr>
        <w:t xml:space="preserve"> experiences and expertise continue to shape the investment.</w:t>
      </w:r>
    </w:p>
    <w:p w14:paraId="6FA867D6" w14:textId="2D760451" w:rsidR="00C1542D" w:rsidRPr="00574CF8" w:rsidRDefault="001A4BD2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Description of</w:t>
      </w:r>
      <w:r w:rsidR="00BD1D3C" w:rsidRPr="00574CF8">
        <w:rPr>
          <w:b/>
          <w:bCs/>
          <w:color w:val="auto"/>
        </w:rPr>
        <w:t xml:space="preserve"> d</w:t>
      </w:r>
      <w:r w:rsidR="00C1542D" w:rsidRPr="00574CF8">
        <w:rPr>
          <w:b/>
          <w:bCs/>
          <w:color w:val="auto"/>
        </w:rPr>
        <w:t xml:space="preserve">isability equity expertise </w:t>
      </w:r>
      <w:r w:rsidR="00BD1D3C" w:rsidRPr="00574CF8">
        <w:rPr>
          <w:b/>
          <w:bCs/>
          <w:color w:val="auto"/>
        </w:rPr>
        <w:t>in the</w:t>
      </w:r>
      <w:r w:rsidR="00C1542D" w:rsidRPr="00574CF8">
        <w:rPr>
          <w:b/>
          <w:bCs/>
          <w:color w:val="auto"/>
        </w:rPr>
        <w:t xml:space="preserve"> implementing team</w:t>
      </w:r>
      <w:r w:rsidR="00C1542D" w:rsidRPr="00574CF8">
        <w:rPr>
          <w:color w:val="auto"/>
        </w:rPr>
        <w:t xml:space="preserve">. Where GEDSI </w:t>
      </w:r>
      <w:r w:rsidR="00BD1D3C" w:rsidRPr="00574CF8">
        <w:rPr>
          <w:color w:val="auto"/>
        </w:rPr>
        <w:t>advisors are engaged,</w:t>
      </w:r>
      <w:r w:rsidR="00C1542D" w:rsidRPr="00574CF8">
        <w:rPr>
          <w:color w:val="auto"/>
        </w:rPr>
        <w:t xml:space="preserve"> </w:t>
      </w:r>
      <w:r w:rsidR="00BD1D3C" w:rsidRPr="00574CF8">
        <w:rPr>
          <w:color w:val="auto"/>
        </w:rPr>
        <w:t>confirm whether</w:t>
      </w:r>
      <w:r w:rsidR="00C1542D" w:rsidRPr="00574CF8">
        <w:rPr>
          <w:color w:val="auto"/>
        </w:rPr>
        <w:t xml:space="preserve"> </w:t>
      </w:r>
      <w:r w:rsidR="00BD1D3C" w:rsidRPr="00574CF8">
        <w:rPr>
          <w:color w:val="auto"/>
        </w:rPr>
        <w:t>dedicated</w:t>
      </w:r>
      <w:r w:rsidR="00C1542D" w:rsidRPr="00574CF8">
        <w:rPr>
          <w:color w:val="auto"/>
        </w:rPr>
        <w:t xml:space="preserve"> disability technical expertise is available.</w:t>
      </w:r>
    </w:p>
    <w:p w14:paraId="7ED695A5" w14:textId="009B1B4F" w:rsidR="00C1542D" w:rsidRPr="00574CF8" w:rsidRDefault="00B251A8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Assessment of whether</w:t>
      </w:r>
      <w:r w:rsidR="00C1542D"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 xml:space="preserve">gaps in </w:t>
      </w:r>
      <w:r w:rsidR="00C1542D" w:rsidRPr="00574CF8">
        <w:rPr>
          <w:b/>
          <w:bCs/>
          <w:color w:val="auto"/>
        </w:rPr>
        <w:t>disability equity</w:t>
      </w:r>
      <w:r w:rsidR="00C1542D" w:rsidRPr="00574CF8">
        <w:rPr>
          <w:color w:val="auto"/>
        </w:rPr>
        <w:t xml:space="preserve"> could </w:t>
      </w:r>
      <w:r w:rsidRPr="00574CF8">
        <w:rPr>
          <w:color w:val="auto"/>
        </w:rPr>
        <w:t>weaken</w:t>
      </w:r>
      <w:r w:rsidR="00C1542D" w:rsidRPr="00574CF8">
        <w:rPr>
          <w:color w:val="auto"/>
        </w:rPr>
        <w:t xml:space="preserve"> </w:t>
      </w:r>
      <w:r w:rsidR="00BD1D3C" w:rsidRPr="00574CF8">
        <w:rPr>
          <w:color w:val="auto"/>
        </w:rPr>
        <w:t>the</w:t>
      </w:r>
      <w:r w:rsidRPr="00574CF8">
        <w:rPr>
          <w:color w:val="auto"/>
        </w:rPr>
        <w:t xml:space="preserve"> investment’s</w:t>
      </w:r>
      <w:r w:rsidR="00BD1D3C" w:rsidRPr="00574CF8">
        <w:rPr>
          <w:color w:val="auto"/>
        </w:rPr>
        <w:t xml:space="preserve"> </w:t>
      </w:r>
      <w:r w:rsidR="00C1542D" w:rsidRPr="00574CF8">
        <w:rPr>
          <w:color w:val="auto"/>
        </w:rPr>
        <w:t xml:space="preserve">sustainability </w:t>
      </w:r>
      <w:r w:rsidR="00BD1D3C" w:rsidRPr="00574CF8">
        <w:rPr>
          <w:color w:val="auto"/>
        </w:rPr>
        <w:t>and impact</w:t>
      </w:r>
      <w:r w:rsidR="00C1542D" w:rsidRPr="00574CF8">
        <w:rPr>
          <w:color w:val="auto"/>
        </w:rPr>
        <w:t>.</w:t>
      </w:r>
    </w:p>
    <w:p w14:paraId="19EE1971" w14:textId="26E67FFF" w:rsidR="00356A1B" w:rsidRPr="00574CF8" w:rsidRDefault="00BD1D3C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Identify</w:t>
      </w:r>
      <w:r w:rsidR="00DC6513" w:rsidRPr="00574CF8">
        <w:rPr>
          <w:b/>
          <w:bCs/>
          <w:color w:val="auto"/>
        </w:rPr>
        <w:t xml:space="preserve"> </w:t>
      </w:r>
      <w:r w:rsidR="00DC6513" w:rsidRPr="00574CF8">
        <w:rPr>
          <w:color w:val="auto"/>
        </w:rPr>
        <w:t>policy dialogue and diplomacy</w:t>
      </w:r>
      <w:r w:rsidRPr="00574CF8">
        <w:rPr>
          <w:b/>
          <w:bCs/>
          <w:color w:val="auto"/>
        </w:rPr>
        <w:t xml:space="preserve"> opportunities </w:t>
      </w:r>
      <w:r w:rsidR="00DC6513" w:rsidRPr="00574CF8">
        <w:rPr>
          <w:b/>
          <w:bCs/>
          <w:color w:val="auto"/>
        </w:rPr>
        <w:t xml:space="preserve">to promote </w:t>
      </w:r>
      <w:r w:rsidR="00356A1B" w:rsidRPr="00574CF8">
        <w:rPr>
          <w:b/>
          <w:bCs/>
          <w:color w:val="auto"/>
        </w:rPr>
        <w:t>disability equity</w:t>
      </w:r>
      <w:r w:rsidR="00356A1B" w:rsidRPr="00574CF8">
        <w:rPr>
          <w:color w:val="auto"/>
        </w:rPr>
        <w:t>.</w:t>
      </w:r>
    </w:p>
    <w:p w14:paraId="406D9426" w14:textId="0FCD3627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.3.5 Monitoring, Evaluation and Learning (MEL) </w:t>
      </w:r>
      <w:r w:rsidR="00BE7EFE" w:rsidRPr="00574CF8">
        <w:rPr>
          <w:color w:val="auto"/>
        </w:rPr>
        <w:t>(How will DFAT measure performance?)</w:t>
      </w:r>
    </w:p>
    <w:p w14:paraId="3493A725" w14:textId="0CA92B1A" w:rsidR="00C1542D" w:rsidRPr="00574CF8" w:rsidRDefault="00B251A8" w:rsidP="001F5A89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This section should outline what role</w:t>
      </w:r>
      <w:r w:rsidR="00356A1B" w:rsidRPr="00574CF8">
        <w:rPr>
          <w:rFonts w:ascii="Calibri Light" w:eastAsia="Calibri" w:hAnsi="Calibri Light" w:cs="Calibri Light"/>
          <w:color w:val="auto"/>
          <w:szCs w:val="21"/>
        </w:rPr>
        <w:t xml:space="preserve"> people with disability </w:t>
      </w:r>
      <w:r w:rsidRPr="00574CF8">
        <w:rPr>
          <w:rFonts w:ascii="Calibri Light" w:eastAsia="Calibri" w:hAnsi="Calibri Light" w:cs="Calibri Light"/>
          <w:color w:val="auto"/>
          <w:szCs w:val="21"/>
        </w:rPr>
        <w:t>will play</w:t>
      </w:r>
      <w:r w:rsidR="00356A1B" w:rsidRPr="00574CF8">
        <w:rPr>
          <w:rFonts w:ascii="Calibri Light" w:eastAsia="Calibri" w:hAnsi="Calibri Light" w:cs="Calibri Light"/>
          <w:color w:val="auto"/>
          <w:szCs w:val="21"/>
        </w:rPr>
        <w:t xml:space="preserve"> in the investment’s MEL</w:t>
      </w:r>
      <w:r w:rsidRPr="00574CF8">
        <w:rPr>
          <w:rFonts w:ascii="Calibri Light" w:eastAsia="Calibri" w:hAnsi="Calibri Light" w:cs="Calibri Light"/>
          <w:color w:val="auto"/>
          <w:szCs w:val="21"/>
        </w:rPr>
        <w:t>, and articulate how progress on disability equity will be</w:t>
      </w:r>
      <w:r w:rsidR="00356A1B" w:rsidRPr="00574CF8">
        <w:rPr>
          <w:rFonts w:ascii="Calibri Light" w:eastAsia="Calibri" w:hAnsi="Calibri Light" w:cs="Calibri Light"/>
          <w:color w:val="auto"/>
          <w:szCs w:val="21"/>
        </w:rPr>
        <w:t xml:space="preserve">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>measured and reported. This should include:</w:t>
      </w:r>
    </w:p>
    <w:p w14:paraId="1F801647" w14:textId="2031A059" w:rsidR="00C1542D" w:rsidRPr="00574CF8" w:rsidRDefault="00703EA7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D</w:t>
      </w:r>
      <w:r w:rsidR="00C1542D" w:rsidRPr="00574CF8">
        <w:rPr>
          <w:b/>
          <w:bCs/>
          <w:color w:val="auto"/>
        </w:rPr>
        <w:t>isability-related indicators</w:t>
      </w:r>
      <w:r w:rsidR="00C1542D" w:rsidRPr="00574CF8">
        <w:rPr>
          <w:color w:val="auto"/>
        </w:rPr>
        <w:t xml:space="preserve"> and evaluative questions in the MEL framework</w:t>
      </w:r>
      <w:r w:rsidR="00C14933" w:rsidRPr="00574CF8">
        <w:rPr>
          <w:color w:val="auto"/>
        </w:rPr>
        <w:t xml:space="preserve">, </w:t>
      </w:r>
      <w:r w:rsidR="00B251A8" w:rsidRPr="00574CF8">
        <w:rPr>
          <w:color w:val="auto"/>
        </w:rPr>
        <w:t>including</w:t>
      </w:r>
      <w:r w:rsidR="00C14933" w:rsidRPr="00574CF8">
        <w:rPr>
          <w:color w:val="auto"/>
        </w:rPr>
        <w:t xml:space="preserve"> </w:t>
      </w:r>
      <w:r w:rsidR="004F5AF1" w:rsidRPr="00574CF8">
        <w:rPr>
          <w:color w:val="auto"/>
        </w:rPr>
        <w:t xml:space="preserve">DFAT’s </w:t>
      </w:r>
      <w:r w:rsidR="00C14933" w:rsidRPr="00574CF8">
        <w:rPr>
          <w:color w:val="auto"/>
        </w:rPr>
        <w:t>Tier 2 indicator on OPD capacity support</w:t>
      </w:r>
      <w:r w:rsidR="00DC6513" w:rsidRPr="00574CF8">
        <w:rPr>
          <w:color w:val="auto"/>
        </w:rPr>
        <w:t xml:space="preserve"> (where relevant)</w:t>
      </w:r>
      <w:r w:rsidR="00B251A8" w:rsidRPr="00574CF8">
        <w:rPr>
          <w:color w:val="auto"/>
        </w:rPr>
        <w:t>.</w:t>
      </w:r>
    </w:p>
    <w:p w14:paraId="0FE3617C" w14:textId="2F306320" w:rsidR="00C1542D" w:rsidRPr="00574CF8" w:rsidRDefault="00B251A8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Plans</w:t>
      </w:r>
      <w:r w:rsidR="00C1542D" w:rsidRPr="00574CF8">
        <w:rPr>
          <w:b/>
          <w:bCs/>
          <w:color w:val="auto"/>
        </w:rPr>
        <w:t xml:space="preserve"> to</w:t>
      </w:r>
      <w:r w:rsidR="00C55D4C" w:rsidRPr="00574CF8">
        <w:rPr>
          <w:b/>
          <w:bCs/>
          <w:color w:val="auto"/>
        </w:rPr>
        <w:t xml:space="preserve"> collect</w:t>
      </w:r>
      <w:r w:rsidRPr="00574CF8">
        <w:rPr>
          <w:b/>
          <w:bCs/>
          <w:color w:val="auto"/>
        </w:rPr>
        <w:t xml:space="preserve"> and use</w:t>
      </w:r>
      <w:r w:rsidR="00C55D4C" w:rsidRPr="00574CF8">
        <w:rPr>
          <w:color w:val="auto"/>
        </w:rPr>
        <w:t xml:space="preserve"> </w:t>
      </w:r>
      <w:r w:rsidR="00C55D4C" w:rsidRPr="00574CF8">
        <w:rPr>
          <w:b/>
          <w:bCs/>
          <w:color w:val="auto"/>
        </w:rPr>
        <w:t>disability disaggregated data</w:t>
      </w:r>
      <w:r w:rsidRPr="00574CF8">
        <w:rPr>
          <w:color w:val="auto"/>
        </w:rPr>
        <w:t>, using both quantitative and qualitative methods to assess meaningful engagement and benefit.</w:t>
      </w:r>
    </w:p>
    <w:p w14:paraId="7E378E54" w14:textId="6575C59E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>.3.6 Gender</w:t>
      </w:r>
      <w:r w:rsidR="007434E3" w:rsidRPr="00574CF8">
        <w:rPr>
          <w:color w:val="auto"/>
        </w:rPr>
        <w:t xml:space="preserve"> equality</w:t>
      </w:r>
      <w:r w:rsidR="00DA4AE4" w:rsidRPr="00574CF8">
        <w:rPr>
          <w:color w:val="auto"/>
        </w:rPr>
        <w:t xml:space="preserve">, disability </w:t>
      </w:r>
      <w:r w:rsidR="007434E3" w:rsidRPr="00574CF8">
        <w:rPr>
          <w:color w:val="auto"/>
        </w:rPr>
        <w:t xml:space="preserve">equity, climate change </w:t>
      </w:r>
      <w:r w:rsidR="00DA4AE4" w:rsidRPr="00574CF8">
        <w:rPr>
          <w:color w:val="auto"/>
        </w:rPr>
        <w:t xml:space="preserve">and other cross cutting issues </w:t>
      </w:r>
    </w:p>
    <w:p w14:paraId="119AED0A" w14:textId="6B56C114" w:rsidR="00C1542D" w:rsidRPr="00574CF8" w:rsidRDefault="00C1542D" w:rsidP="00C1542D">
      <w:pPr>
        <w:spacing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>Disability equity should be integrated throughout the design</w:t>
      </w:r>
      <w:r w:rsidR="003D3D4F" w:rsidRPr="00574CF8">
        <w:rPr>
          <w:rFonts w:ascii="Calibri Light" w:eastAsia="Calibri" w:hAnsi="Calibri Light" w:cs="Calibri Light"/>
          <w:color w:val="auto"/>
          <w:szCs w:val="21"/>
        </w:rPr>
        <w:t>, not only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 addressed in the </w:t>
      </w:r>
      <w:r w:rsidR="00B233AE" w:rsidRPr="00574CF8">
        <w:rPr>
          <w:rFonts w:ascii="Calibri Light" w:eastAsia="Calibri" w:hAnsi="Calibri Light" w:cs="Calibri Light"/>
          <w:color w:val="auto"/>
          <w:szCs w:val="21"/>
        </w:rPr>
        <w:t>specific narrative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 on </w:t>
      </w:r>
      <w:r w:rsidR="00B251A8" w:rsidRPr="00574CF8">
        <w:rPr>
          <w:rFonts w:ascii="Calibri Light" w:eastAsia="Calibri" w:hAnsi="Calibri Light" w:cs="Calibri Light"/>
          <w:color w:val="auto"/>
          <w:szCs w:val="21"/>
        </w:rPr>
        <w:t>disability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. The </w:t>
      </w:r>
      <w:r w:rsidR="001916BA" w:rsidRPr="00574CF8">
        <w:rPr>
          <w:rFonts w:ascii="Calibri Light" w:eastAsia="Calibri" w:hAnsi="Calibri Light" w:cs="Calibri Light"/>
          <w:color w:val="auto"/>
          <w:szCs w:val="21"/>
        </w:rPr>
        <w:t xml:space="preserve">narrative </w:t>
      </w:r>
      <w:r w:rsidRPr="00574CF8">
        <w:rPr>
          <w:rFonts w:ascii="Calibri Light" w:eastAsia="Calibri" w:hAnsi="Calibri Light" w:cs="Calibri Light"/>
          <w:color w:val="auto"/>
          <w:szCs w:val="21"/>
        </w:rPr>
        <w:t>should articulate:</w:t>
      </w:r>
    </w:p>
    <w:p w14:paraId="7F845D90" w14:textId="7830F5EC" w:rsidR="00C1542D" w:rsidRPr="00574CF8" w:rsidRDefault="00C1542D" w:rsidP="00933D87">
      <w:pPr>
        <w:pStyle w:val="BodyCopyBullets"/>
        <w:numPr>
          <w:ilvl w:val="0"/>
          <w:numId w:val="50"/>
        </w:numPr>
        <w:spacing w:before="0"/>
        <w:ind w:left="340" w:hanging="340"/>
        <w:rPr>
          <w:color w:val="auto"/>
        </w:rPr>
      </w:pPr>
      <w:r w:rsidRPr="00574CF8">
        <w:rPr>
          <w:b/>
          <w:bCs/>
          <w:color w:val="auto"/>
        </w:rPr>
        <w:t>The</w:t>
      </w:r>
      <w:r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>level of consultation</w:t>
      </w:r>
      <w:r w:rsidRPr="00574CF8">
        <w:rPr>
          <w:color w:val="auto"/>
        </w:rPr>
        <w:t xml:space="preserve"> with </w:t>
      </w:r>
      <w:r w:rsidR="00703EA7" w:rsidRPr="00574CF8">
        <w:rPr>
          <w:color w:val="auto"/>
        </w:rPr>
        <w:t xml:space="preserve">diverse </w:t>
      </w:r>
      <w:r w:rsidRPr="00574CF8">
        <w:rPr>
          <w:color w:val="auto"/>
        </w:rPr>
        <w:t xml:space="preserve">people with </w:t>
      </w:r>
      <w:r w:rsidR="00D7471A" w:rsidRPr="00574CF8">
        <w:rPr>
          <w:color w:val="auto"/>
        </w:rPr>
        <w:t>disability</w:t>
      </w:r>
      <w:r w:rsidR="00C14933" w:rsidRPr="00574CF8">
        <w:rPr>
          <w:color w:val="auto"/>
        </w:rPr>
        <w:t xml:space="preserve"> and OPDs during the design process</w:t>
      </w:r>
      <w:r w:rsidR="00703EA7" w:rsidRPr="00574CF8">
        <w:rPr>
          <w:color w:val="auto"/>
        </w:rPr>
        <w:t>.</w:t>
      </w:r>
    </w:p>
    <w:p w14:paraId="140661B7" w14:textId="2707ACCA" w:rsidR="00C1542D" w:rsidRPr="00574CF8" w:rsidRDefault="00C1542D" w:rsidP="00933D87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The</w:t>
      </w:r>
      <w:r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 xml:space="preserve">main barriers and opportunities </w:t>
      </w:r>
      <w:r w:rsidRPr="00574CF8">
        <w:rPr>
          <w:color w:val="auto"/>
        </w:rPr>
        <w:t xml:space="preserve">for people with </w:t>
      </w:r>
      <w:r w:rsidR="00D7471A" w:rsidRPr="00574CF8">
        <w:rPr>
          <w:color w:val="auto"/>
        </w:rPr>
        <w:t xml:space="preserve">disability </w:t>
      </w:r>
      <w:r w:rsidRPr="00574CF8">
        <w:rPr>
          <w:color w:val="auto"/>
        </w:rPr>
        <w:t>relevant to the</w:t>
      </w:r>
      <w:r w:rsidR="00B251A8" w:rsidRPr="00574CF8">
        <w:rPr>
          <w:color w:val="auto"/>
        </w:rPr>
        <w:t xml:space="preserve"> investment</w:t>
      </w:r>
      <w:r w:rsidRPr="00574CF8">
        <w:rPr>
          <w:color w:val="auto"/>
        </w:rPr>
        <w:t xml:space="preserve"> context. This should be informed by </w:t>
      </w:r>
      <w:r w:rsidR="00C14933" w:rsidRPr="00574CF8">
        <w:rPr>
          <w:color w:val="auto"/>
        </w:rPr>
        <w:t>lived</w:t>
      </w:r>
      <w:r w:rsidRPr="00574CF8">
        <w:rPr>
          <w:color w:val="auto"/>
        </w:rPr>
        <w:t xml:space="preserve"> experience</w:t>
      </w:r>
      <w:r w:rsidR="00C14933" w:rsidRPr="00574CF8">
        <w:rPr>
          <w:color w:val="auto"/>
        </w:rPr>
        <w:t xml:space="preserve">, especially from </w:t>
      </w:r>
      <w:r w:rsidR="00703EA7" w:rsidRPr="00574CF8">
        <w:rPr>
          <w:color w:val="auto"/>
        </w:rPr>
        <w:t xml:space="preserve">underrepresented </w:t>
      </w:r>
      <w:r w:rsidR="00C14933" w:rsidRPr="00574CF8">
        <w:rPr>
          <w:color w:val="auto"/>
        </w:rPr>
        <w:t>groups</w:t>
      </w:r>
      <w:r w:rsidRPr="00574CF8">
        <w:rPr>
          <w:color w:val="auto"/>
        </w:rPr>
        <w:t xml:space="preserve">. </w:t>
      </w:r>
    </w:p>
    <w:p w14:paraId="53DF5B75" w14:textId="2E52F960" w:rsidR="00C1542D" w:rsidRPr="00574CF8" w:rsidRDefault="00C1542D" w:rsidP="00933D87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The</w:t>
      </w:r>
      <w:r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>overall strategy or approach</w:t>
      </w:r>
      <w:r w:rsidRPr="00574CF8">
        <w:rPr>
          <w:color w:val="auto"/>
        </w:rPr>
        <w:t xml:space="preserve"> to disability equity – </w:t>
      </w:r>
      <w:r w:rsidR="00703EA7" w:rsidRPr="00574CF8">
        <w:rPr>
          <w:color w:val="auto"/>
        </w:rPr>
        <w:t>how the investment will address</w:t>
      </w:r>
      <w:r w:rsidRPr="00574CF8">
        <w:rPr>
          <w:color w:val="auto"/>
        </w:rPr>
        <w:t xml:space="preserve"> </w:t>
      </w:r>
      <w:r w:rsidR="00C14933" w:rsidRPr="00574CF8">
        <w:rPr>
          <w:color w:val="auto"/>
        </w:rPr>
        <w:t>key</w:t>
      </w:r>
      <w:r w:rsidRPr="00574CF8">
        <w:rPr>
          <w:color w:val="auto"/>
        </w:rPr>
        <w:t xml:space="preserve"> barriers</w:t>
      </w:r>
      <w:r w:rsidR="00C14933" w:rsidRPr="00574CF8">
        <w:rPr>
          <w:color w:val="auto"/>
        </w:rPr>
        <w:t>,</w:t>
      </w:r>
      <w:r w:rsidRPr="00574CF8">
        <w:rPr>
          <w:color w:val="auto"/>
        </w:rPr>
        <w:t xml:space="preserve"> </w:t>
      </w:r>
      <w:r w:rsidR="00703EA7" w:rsidRPr="00574CF8">
        <w:rPr>
          <w:color w:val="auto"/>
        </w:rPr>
        <w:t>promote</w:t>
      </w:r>
      <w:r w:rsidRPr="00574CF8">
        <w:rPr>
          <w:color w:val="auto"/>
        </w:rPr>
        <w:t xml:space="preserve"> meaningful engagement of diverse people with </w:t>
      </w:r>
      <w:r w:rsidR="00D7471A" w:rsidRPr="00574CF8">
        <w:rPr>
          <w:color w:val="auto"/>
        </w:rPr>
        <w:t>disability</w:t>
      </w:r>
      <w:r w:rsidR="00C14933" w:rsidRPr="00574CF8">
        <w:rPr>
          <w:color w:val="auto"/>
        </w:rPr>
        <w:t>, and apply the twin-track approach</w:t>
      </w:r>
      <w:r w:rsidR="000D0F16" w:rsidRPr="00574CF8">
        <w:rPr>
          <w:color w:val="auto"/>
        </w:rPr>
        <w:t xml:space="preserve">. </w:t>
      </w:r>
      <w:r w:rsidRPr="00574CF8">
        <w:rPr>
          <w:color w:val="auto"/>
        </w:rPr>
        <w:t xml:space="preserve">It should also outline </w:t>
      </w:r>
      <w:r w:rsidR="0056664C" w:rsidRPr="00574CF8">
        <w:rPr>
          <w:color w:val="auto"/>
        </w:rPr>
        <w:t>plans to develop</w:t>
      </w:r>
      <w:r w:rsidRPr="00574CF8">
        <w:rPr>
          <w:color w:val="auto"/>
        </w:rPr>
        <w:t xml:space="preserve"> or </w:t>
      </w:r>
      <w:r w:rsidR="0056664C" w:rsidRPr="00574CF8">
        <w:rPr>
          <w:color w:val="auto"/>
        </w:rPr>
        <w:t>refine</w:t>
      </w:r>
      <w:r w:rsidRPr="00574CF8">
        <w:rPr>
          <w:color w:val="auto"/>
        </w:rPr>
        <w:t xml:space="preserve"> a disability equity strategy or action plan</w:t>
      </w:r>
      <w:r w:rsidR="00D93A73" w:rsidRPr="00574CF8">
        <w:rPr>
          <w:color w:val="auto"/>
        </w:rPr>
        <w:t xml:space="preserve"> (</w:t>
      </w:r>
      <w:r w:rsidR="00B251A8" w:rsidRPr="00574CF8">
        <w:rPr>
          <w:color w:val="auto"/>
        </w:rPr>
        <w:t xml:space="preserve">which </w:t>
      </w:r>
      <w:r w:rsidR="00D93A73" w:rsidRPr="00574CF8">
        <w:rPr>
          <w:color w:val="auto"/>
        </w:rPr>
        <w:t>may be part of a GEDSI strategy/action plan)</w:t>
      </w:r>
      <w:r w:rsidRPr="00574CF8">
        <w:rPr>
          <w:color w:val="auto"/>
        </w:rPr>
        <w:t xml:space="preserve">. </w:t>
      </w:r>
    </w:p>
    <w:p w14:paraId="7C05A5C8" w14:textId="77777777" w:rsidR="004072C6" w:rsidRPr="004072C6" w:rsidRDefault="004072C6" w:rsidP="004072C6">
      <w:pPr>
        <w:pStyle w:val="BodyCopyBullets"/>
        <w:numPr>
          <w:ilvl w:val="0"/>
          <w:numId w:val="0"/>
        </w:numPr>
        <w:ind w:left="340"/>
        <w:rPr>
          <w:color w:val="auto"/>
        </w:rPr>
      </w:pPr>
    </w:p>
    <w:p w14:paraId="4ED30727" w14:textId="776F1856" w:rsidR="00B97784" w:rsidRPr="00574CF8" w:rsidRDefault="00B97784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A rationale</w:t>
      </w:r>
      <w:r w:rsidRPr="00574CF8">
        <w:rPr>
          <w:color w:val="auto"/>
        </w:rPr>
        <w:t xml:space="preserve"> for the </w:t>
      </w:r>
      <w:hyperlink r:id="rId14" w:history="1">
        <w:r w:rsidRPr="00574CF8">
          <w:rPr>
            <w:rStyle w:val="Hyperlink"/>
            <w:color w:val="auto"/>
          </w:rPr>
          <w:t>OECD DAC Disability Equity Policy Marker</w:t>
        </w:r>
      </w:hyperlink>
      <w:r w:rsidRPr="00574CF8">
        <w:rPr>
          <w:color w:val="auto"/>
        </w:rPr>
        <w:t xml:space="preserve"> that has been selected and outline </w:t>
      </w:r>
      <w:r w:rsidR="00C55D4C" w:rsidRPr="00574CF8">
        <w:rPr>
          <w:color w:val="auto"/>
        </w:rPr>
        <w:t>of how</w:t>
      </w:r>
      <w:r w:rsidRPr="00574CF8">
        <w:rPr>
          <w:color w:val="auto"/>
        </w:rPr>
        <w:t xml:space="preserve"> the investment aligns with priority pillars of</w:t>
      </w:r>
      <w:r w:rsidR="00AC26DE" w:rsidRPr="00574CF8">
        <w:rPr>
          <w:color w:val="auto"/>
        </w:rPr>
        <w:t xml:space="preserve"> IDEARS</w:t>
      </w:r>
      <w:r w:rsidR="00B251A8" w:rsidRPr="00574CF8">
        <w:rPr>
          <w:color w:val="auto"/>
        </w:rPr>
        <w:t>.</w:t>
      </w:r>
    </w:p>
    <w:p w14:paraId="5B7B9166" w14:textId="7F3B950E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>.3.7 Budget and resourc</w:t>
      </w:r>
      <w:r w:rsidR="001B7060" w:rsidRPr="00574CF8">
        <w:rPr>
          <w:color w:val="auto"/>
        </w:rPr>
        <w:t>es</w:t>
      </w:r>
      <w:r w:rsidR="00DA4AE4" w:rsidRPr="00574CF8">
        <w:rPr>
          <w:color w:val="auto"/>
        </w:rPr>
        <w:t xml:space="preserve"> </w:t>
      </w:r>
      <w:r w:rsidR="001916BA" w:rsidRPr="00574CF8">
        <w:rPr>
          <w:color w:val="auto"/>
        </w:rPr>
        <w:t>(What will it cost?)</w:t>
      </w:r>
    </w:p>
    <w:p w14:paraId="646982DA" w14:textId="028FD3FB" w:rsidR="00C1542D" w:rsidRPr="00574CF8" w:rsidRDefault="00C1542D" w:rsidP="00C1542D">
      <w:pPr>
        <w:pStyle w:val="BodyCopyBullets"/>
        <w:numPr>
          <w:ilvl w:val="0"/>
          <w:numId w:val="0"/>
        </w:numPr>
        <w:rPr>
          <w:color w:val="auto"/>
        </w:rPr>
      </w:pPr>
      <w:r w:rsidRPr="00574CF8">
        <w:rPr>
          <w:color w:val="auto"/>
        </w:rPr>
        <w:t>The budget should include adequate, dedicated resourc</w:t>
      </w:r>
      <w:r w:rsidR="0093084C" w:rsidRPr="00574CF8">
        <w:rPr>
          <w:color w:val="auto"/>
        </w:rPr>
        <w:t>es</w:t>
      </w:r>
      <w:r w:rsidRPr="00574CF8">
        <w:rPr>
          <w:color w:val="auto"/>
        </w:rPr>
        <w:t xml:space="preserve"> to implement the investment’s commitments on disability equity. This should include allocated budget for: </w:t>
      </w:r>
    </w:p>
    <w:p w14:paraId="3ECDC34E" w14:textId="3E7403C6" w:rsidR="00C1542D" w:rsidRPr="00574CF8" w:rsidRDefault="00C1542D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hyperlink r:id="rId15" w:history="1">
        <w:r w:rsidRPr="00574CF8">
          <w:rPr>
            <w:rStyle w:val="Hyperlink"/>
            <w:b/>
            <w:bCs/>
            <w:color w:val="auto"/>
          </w:rPr>
          <w:t>Reasonable accommodation</w:t>
        </w:r>
      </w:hyperlink>
      <w:r w:rsidRPr="00574CF8">
        <w:rPr>
          <w:b/>
          <w:bCs/>
          <w:color w:val="auto"/>
        </w:rPr>
        <w:t xml:space="preserve"> and accessibility</w:t>
      </w:r>
      <w:r w:rsidRPr="00574CF8">
        <w:rPr>
          <w:color w:val="auto"/>
        </w:rPr>
        <w:t xml:space="preserve"> measures.</w:t>
      </w:r>
    </w:p>
    <w:p w14:paraId="76CA6691" w14:textId="6E93E0A4" w:rsidR="00C1542D" w:rsidRPr="00574CF8" w:rsidRDefault="00C1542D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Technical advice</w:t>
      </w:r>
      <w:r w:rsidRPr="00574CF8">
        <w:rPr>
          <w:color w:val="auto"/>
        </w:rPr>
        <w:t xml:space="preserve"> to support the program implement a sound approach to disability equity.</w:t>
      </w:r>
    </w:p>
    <w:p w14:paraId="4DCDC3B5" w14:textId="78B14985" w:rsidR="00C1542D" w:rsidRPr="00574CF8" w:rsidRDefault="00C1542D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Appropriate resourcing</w:t>
      </w:r>
      <w:r w:rsidRPr="00574CF8">
        <w:rPr>
          <w:color w:val="auto"/>
        </w:rPr>
        <w:t xml:space="preserve"> for the engagement of OPDs/people with </w:t>
      </w:r>
      <w:r w:rsidR="00D7471A" w:rsidRPr="00574CF8">
        <w:rPr>
          <w:color w:val="auto"/>
        </w:rPr>
        <w:t xml:space="preserve">disability </w:t>
      </w:r>
      <w:r w:rsidRPr="00574CF8">
        <w:rPr>
          <w:color w:val="auto"/>
        </w:rPr>
        <w:t>(e.g. remuneration, capacity development activities).</w:t>
      </w:r>
    </w:p>
    <w:p w14:paraId="78A9116C" w14:textId="3A1BC5C1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.3.8 Procurement and partnering </w:t>
      </w:r>
    </w:p>
    <w:p w14:paraId="7A035808" w14:textId="2783BF90" w:rsidR="00C1542D" w:rsidRPr="00574CF8" w:rsidRDefault="00C1542D" w:rsidP="00C42A1B">
      <w:pPr>
        <w:pStyle w:val="BodyCopyBullets"/>
        <w:numPr>
          <w:ilvl w:val="0"/>
          <w:numId w:val="0"/>
        </w:numPr>
        <w:rPr>
          <w:color w:val="auto"/>
        </w:rPr>
      </w:pPr>
      <w:r w:rsidRPr="00574CF8">
        <w:rPr>
          <w:color w:val="auto"/>
        </w:rPr>
        <w:t xml:space="preserve">Consider the </w:t>
      </w:r>
      <w:r w:rsidR="0056664C" w:rsidRPr="00574CF8">
        <w:rPr>
          <w:color w:val="auto"/>
        </w:rPr>
        <w:t xml:space="preserve">following </w:t>
      </w:r>
      <w:r w:rsidRPr="00574CF8">
        <w:rPr>
          <w:color w:val="auto"/>
        </w:rPr>
        <w:t>accountability mechanisms that can be used in procurement arrangements:</w:t>
      </w:r>
    </w:p>
    <w:p w14:paraId="6D5533CC" w14:textId="30FED5BB" w:rsidR="00C1542D" w:rsidRPr="00574CF8" w:rsidRDefault="0056664C" w:rsidP="00C42A1B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Specify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>adequate financial and human resources</w:t>
      </w:r>
      <w:r w:rsidR="00C1542D" w:rsidRPr="00574CF8">
        <w:rPr>
          <w:color w:val="auto"/>
        </w:rPr>
        <w:t xml:space="preserve"> for disability </w:t>
      </w:r>
      <w:r w:rsidR="009B5A3B" w:rsidRPr="00574CF8">
        <w:rPr>
          <w:color w:val="auto"/>
        </w:rPr>
        <w:t>in all downstream procurement arrangements</w:t>
      </w:r>
      <w:r w:rsidR="00C1542D" w:rsidRPr="00574CF8">
        <w:rPr>
          <w:color w:val="auto"/>
        </w:rPr>
        <w:t>.</w:t>
      </w:r>
    </w:p>
    <w:p w14:paraId="78B113EA" w14:textId="4D06ADAE" w:rsidR="00C1542D" w:rsidRPr="00574CF8" w:rsidRDefault="0056664C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b/>
          <w:bCs/>
          <w:color w:val="auto"/>
        </w:rPr>
        <w:t>Link</w:t>
      </w:r>
      <w:r w:rsidR="00C1542D" w:rsidRPr="00574CF8">
        <w:rPr>
          <w:b/>
          <w:bCs/>
          <w:color w:val="auto"/>
        </w:rPr>
        <w:t xml:space="preserve"> milestone payments</w:t>
      </w:r>
      <w:r w:rsidR="00C1542D" w:rsidRPr="00574CF8">
        <w:rPr>
          <w:color w:val="auto"/>
        </w:rPr>
        <w:t xml:space="preserve"> to </w:t>
      </w:r>
      <w:r w:rsidRPr="00574CF8">
        <w:rPr>
          <w:color w:val="auto"/>
        </w:rPr>
        <w:t xml:space="preserve">disability equity </w:t>
      </w:r>
      <w:r w:rsidR="00C1542D" w:rsidRPr="00574CF8">
        <w:rPr>
          <w:color w:val="auto"/>
        </w:rPr>
        <w:t>deliverables, such as the GEDSI strategy.</w:t>
      </w:r>
    </w:p>
    <w:p w14:paraId="3C55ED1F" w14:textId="651D128F" w:rsidR="00C1542D" w:rsidRPr="00574CF8" w:rsidRDefault="0056664C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Include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 xml:space="preserve">disability equity </w:t>
      </w:r>
      <w:r w:rsidR="009B5A3B" w:rsidRPr="00574CF8">
        <w:rPr>
          <w:b/>
          <w:bCs/>
          <w:color w:val="auto"/>
        </w:rPr>
        <w:t>expertise</w:t>
      </w:r>
      <w:r w:rsidR="00C1542D" w:rsidRPr="00574CF8">
        <w:rPr>
          <w:color w:val="auto"/>
        </w:rPr>
        <w:t xml:space="preserve"> </w:t>
      </w:r>
      <w:r w:rsidRPr="00574CF8">
        <w:rPr>
          <w:color w:val="auto"/>
        </w:rPr>
        <w:t xml:space="preserve">in the selection criteria </w:t>
      </w:r>
      <w:r w:rsidR="00C1542D" w:rsidRPr="00574CF8">
        <w:rPr>
          <w:color w:val="auto"/>
        </w:rPr>
        <w:t xml:space="preserve">for </w:t>
      </w:r>
      <w:r w:rsidR="009B5A3B" w:rsidRPr="00574CF8">
        <w:rPr>
          <w:color w:val="auto"/>
        </w:rPr>
        <w:t>specified and advisor positions</w:t>
      </w:r>
      <w:r w:rsidR="00C1542D" w:rsidRPr="00574CF8">
        <w:rPr>
          <w:color w:val="auto"/>
        </w:rPr>
        <w:t>.</w:t>
      </w:r>
    </w:p>
    <w:p w14:paraId="47769481" w14:textId="2748B0A2" w:rsidR="00C1542D" w:rsidRPr="00574CF8" w:rsidRDefault="0056664C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Assign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>specific responsibilities</w:t>
      </w:r>
      <w:r w:rsidR="00C1542D" w:rsidRPr="00574CF8">
        <w:rPr>
          <w:color w:val="auto"/>
        </w:rPr>
        <w:t xml:space="preserve"> for disability equity in job descriptions of the Team Leader and other key </w:t>
      </w:r>
      <w:r w:rsidRPr="00574CF8">
        <w:rPr>
          <w:color w:val="auto"/>
        </w:rPr>
        <w:t>roles</w:t>
      </w:r>
      <w:r w:rsidR="00C1542D" w:rsidRPr="00574CF8">
        <w:rPr>
          <w:color w:val="auto"/>
        </w:rPr>
        <w:t>.</w:t>
      </w:r>
    </w:p>
    <w:p w14:paraId="2B2BF554" w14:textId="49D76344" w:rsidR="00C1542D" w:rsidRPr="00574CF8" w:rsidRDefault="0056664C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Provide</w:t>
      </w:r>
      <w:r w:rsidR="00C1542D" w:rsidRPr="00574CF8">
        <w:rPr>
          <w:color w:val="auto"/>
        </w:rPr>
        <w:t xml:space="preserve"> quality </w:t>
      </w:r>
      <w:r w:rsidR="00C1542D" w:rsidRPr="00574CF8">
        <w:rPr>
          <w:b/>
          <w:bCs/>
          <w:color w:val="auto"/>
        </w:rPr>
        <w:t>disability training</w:t>
      </w:r>
      <w:r w:rsidRPr="00574CF8">
        <w:rPr>
          <w:b/>
          <w:bCs/>
          <w:color w:val="auto"/>
        </w:rPr>
        <w:t xml:space="preserve"> for the implementing team</w:t>
      </w:r>
      <w:r w:rsidR="00C1542D" w:rsidRPr="00574CF8">
        <w:rPr>
          <w:b/>
          <w:bCs/>
          <w:color w:val="auto"/>
        </w:rPr>
        <w:t>,</w:t>
      </w:r>
      <w:r w:rsidR="00C1542D" w:rsidRPr="00574CF8">
        <w:rPr>
          <w:color w:val="auto"/>
        </w:rPr>
        <w:t xml:space="preserve"> followed by ongoing mentoring and support.</w:t>
      </w:r>
    </w:p>
    <w:p w14:paraId="24E5DDB9" w14:textId="7C433537" w:rsidR="00B97784" w:rsidRPr="00574CF8" w:rsidRDefault="0056664C" w:rsidP="00543A44">
      <w:pPr>
        <w:pStyle w:val="BodyCopyBullets"/>
        <w:numPr>
          <w:ilvl w:val="0"/>
          <w:numId w:val="50"/>
        </w:numPr>
        <w:rPr>
          <w:color w:val="auto"/>
        </w:rPr>
      </w:pPr>
      <w:r w:rsidRPr="00574CF8">
        <w:rPr>
          <w:color w:val="auto"/>
        </w:rPr>
        <w:t>Require</w:t>
      </w:r>
      <w:r w:rsidR="00B97784" w:rsidRPr="00574CF8">
        <w:rPr>
          <w:color w:val="auto"/>
        </w:rPr>
        <w:t xml:space="preserve"> implementing partners </w:t>
      </w:r>
      <w:r w:rsidRPr="00574CF8">
        <w:rPr>
          <w:color w:val="auto"/>
        </w:rPr>
        <w:t xml:space="preserve">to </w:t>
      </w:r>
      <w:r w:rsidRPr="00574CF8">
        <w:rPr>
          <w:b/>
          <w:bCs/>
          <w:color w:val="auto"/>
        </w:rPr>
        <w:t>uphold</w:t>
      </w:r>
      <w:r w:rsidR="00B97784" w:rsidRPr="00574CF8">
        <w:rPr>
          <w:color w:val="auto"/>
        </w:rPr>
        <w:t xml:space="preserve"> </w:t>
      </w:r>
      <w:r w:rsidR="00B97784" w:rsidRPr="00574CF8">
        <w:rPr>
          <w:b/>
          <w:bCs/>
          <w:color w:val="auto"/>
        </w:rPr>
        <w:t>standards, codes of conduct and protocols</w:t>
      </w:r>
      <w:r w:rsidR="00B97784" w:rsidRPr="00574CF8">
        <w:rPr>
          <w:color w:val="auto"/>
        </w:rPr>
        <w:t xml:space="preserve"> </w:t>
      </w:r>
      <w:r w:rsidRPr="00574CF8">
        <w:rPr>
          <w:color w:val="auto"/>
        </w:rPr>
        <w:t>that prevent harm – ensuring non-</w:t>
      </w:r>
      <w:r w:rsidR="00B97784" w:rsidRPr="00574CF8">
        <w:rPr>
          <w:color w:val="auto"/>
        </w:rPr>
        <w:t>discrimination</w:t>
      </w:r>
      <w:r w:rsidRPr="00574CF8">
        <w:rPr>
          <w:color w:val="auto"/>
        </w:rPr>
        <w:t>,</w:t>
      </w:r>
      <w:r w:rsidR="00B97784" w:rsidRPr="00574CF8">
        <w:rPr>
          <w:color w:val="auto"/>
        </w:rPr>
        <w:t xml:space="preserve"> </w:t>
      </w:r>
      <w:r w:rsidRPr="00574CF8">
        <w:rPr>
          <w:color w:val="auto"/>
        </w:rPr>
        <w:t>provision of</w:t>
      </w:r>
      <w:r w:rsidR="00B97784" w:rsidRPr="00574CF8">
        <w:rPr>
          <w:color w:val="auto"/>
        </w:rPr>
        <w:t xml:space="preserve"> reasonable accommodations, accessibility, and safeguarding the rights and dignity of people with disability.</w:t>
      </w:r>
    </w:p>
    <w:p w14:paraId="506F5089" w14:textId="3B26BBA8" w:rsidR="00C1542D" w:rsidRPr="00574CF8" w:rsidRDefault="005C72D7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Encourage</w:t>
      </w:r>
      <w:r w:rsidR="00D7471A" w:rsidRPr="00574CF8">
        <w:rPr>
          <w:color w:val="auto"/>
        </w:rPr>
        <w:t xml:space="preserve"> </w:t>
      </w:r>
      <w:r w:rsidR="00C1542D" w:rsidRPr="00574CF8">
        <w:rPr>
          <w:color w:val="auto"/>
        </w:rPr>
        <w:t>contractors</w:t>
      </w:r>
      <w:r w:rsidRPr="00574CF8">
        <w:rPr>
          <w:color w:val="auto"/>
        </w:rPr>
        <w:t xml:space="preserve"> to</w:t>
      </w:r>
      <w:r w:rsidR="00C1542D" w:rsidRPr="00574CF8">
        <w:rPr>
          <w:color w:val="auto"/>
        </w:rPr>
        <w:t xml:space="preserve"> </w:t>
      </w:r>
      <w:r w:rsidR="00682549" w:rsidRPr="00574CF8">
        <w:rPr>
          <w:b/>
          <w:bCs/>
          <w:color w:val="auto"/>
        </w:rPr>
        <w:t>appoint</w:t>
      </w:r>
      <w:r w:rsidR="00C1542D" w:rsidRPr="00574CF8">
        <w:rPr>
          <w:b/>
          <w:bCs/>
          <w:color w:val="auto"/>
        </w:rPr>
        <w:t xml:space="preserve"> people with </w:t>
      </w:r>
      <w:r w:rsidR="00D7471A" w:rsidRPr="00574CF8">
        <w:rPr>
          <w:b/>
          <w:bCs/>
          <w:color w:val="auto"/>
        </w:rPr>
        <w:t>disability</w:t>
      </w:r>
      <w:r w:rsidR="00682549" w:rsidRPr="00574CF8">
        <w:rPr>
          <w:b/>
          <w:bCs/>
          <w:color w:val="auto"/>
        </w:rPr>
        <w:t xml:space="preserve"> to</w:t>
      </w:r>
      <w:r w:rsidR="00C1542D" w:rsidRPr="00574CF8">
        <w:rPr>
          <w:b/>
          <w:bCs/>
          <w:color w:val="auto"/>
        </w:rPr>
        <w:t xml:space="preserve"> program team</w:t>
      </w:r>
      <w:r w:rsidR="00682549" w:rsidRPr="00574CF8">
        <w:rPr>
          <w:b/>
          <w:bCs/>
          <w:color w:val="auto"/>
        </w:rPr>
        <w:t>s</w:t>
      </w:r>
      <w:r w:rsidR="00682549" w:rsidRPr="00574CF8">
        <w:rPr>
          <w:color w:val="auto"/>
        </w:rPr>
        <w:t xml:space="preserve"> wherever feasible.</w:t>
      </w:r>
    </w:p>
    <w:p w14:paraId="4F6F2C4A" w14:textId="4473A780" w:rsidR="00DA4AE4" w:rsidRPr="00574CF8" w:rsidRDefault="004A6A81" w:rsidP="00DA4AE4">
      <w:pPr>
        <w:pStyle w:val="H4-Heading4"/>
        <w:rPr>
          <w:color w:val="auto"/>
        </w:rPr>
      </w:pPr>
      <w:r w:rsidRPr="00574CF8">
        <w:rPr>
          <w:color w:val="auto"/>
        </w:rPr>
        <w:t>3</w:t>
      </w:r>
      <w:r w:rsidR="00DA4AE4" w:rsidRPr="00574CF8">
        <w:rPr>
          <w:color w:val="auto"/>
        </w:rPr>
        <w:t xml:space="preserve">.3.9 Risk management and safeguards </w:t>
      </w:r>
      <w:r w:rsidR="00B80C1D" w:rsidRPr="00574CF8">
        <w:rPr>
          <w:color w:val="auto"/>
        </w:rPr>
        <w:t>(what might go wrong?)</w:t>
      </w:r>
    </w:p>
    <w:p w14:paraId="7C27B617" w14:textId="0CEBA2A9" w:rsidR="00682549" w:rsidRPr="00574CF8" w:rsidRDefault="00682549" w:rsidP="00C42A1B">
      <w:pPr>
        <w:spacing w:before="40" w:after="120"/>
        <w:rPr>
          <w:rFonts w:ascii="Calibri Light" w:eastAsia="Calibri" w:hAnsi="Calibri Light" w:cs="Calibri Light"/>
          <w:color w:val="auto"/>
          <w:szCs w:val="21"/>
        </w:rPr>
      </w:pP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The design should identify and explain how disability related risks will be mitigated throughout the investment.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 xml:space="preserve">The risk management section </w:t>
      </w:r>
      <w:r w:rsidRPr="00574CF8">
        <w:rPr>
          <w:rFonts w:ascii="Calibri Light" w:eastAsia="Calibri" w:hAnsi="Calibri Light" w:cs="Calibri Light"/>
          <w:color w:val="auto"/>
          <w:szCs w:val="21"/>
        </w:rPr>
        <w:t xml:space="preserve">and matrix </w:t>
      </w:r>
      <w:r w:rsidR="00C1542D" w:rsidRPr="00574CF8">
        <w:rPr>
          <w:rFonts w:ascii="Calibri Light" w:eastAsia="Calibri" w:hAnsi="Calibri Light" w:cs="Calibri Light"/>
          <w:color w:val="auto"/>
          <w:szCs w:val="21"/>
        </w:rPr>
        <w:t>should</w:t>
      </w:r>
      <w:r w:rsidRPr="00574CF8">
        <w:rPr>
          <w:rFonts w:ascii="Calibri Light" w:eastAsia="Calibri" w:hAnsi="Calibri Light" w:cs="Calibri Light"/>
          <w:color w:val="auto"/>
          <w:szCs w:val="21"/>
        </w:rPr>
        <w:t>:</w:t>
      </w:r>
    </w:p>
    <w:p w14:paraId="543F8558" w14:textId="77777777" w:rsidR="00682549" w:rsidRPr="00574CF8" w:rsidRDefault="00682549" w:rsidP="00C42A1B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I</w:t>
      </w:r>
      <w:r w:rsidR="00C1542D" w:rsidRPr="00574CF8">
        <w:rPr>
          <w:color w:val="auto"/>
        </w:rPr>
        <w:t>dentify</w:t>
      </w:r>
      <w:r w:rsidR="00C1542D" w:rsidRPr="00574CF8">
        <w:rPr>
          <w:b/>
          <w:bCs/>
          <w:color w:val="auto"/>
        </w:rPr>
        <w:t xml:space="preserve"> risks in relation to PSEAH</w:t>
      </w:r>
      <w:r w:rsidR="00C1542D" w:rsidRPr="00574CF8">
        <w:rPr>
          <w:color w:val="auto"/>
        </w:rPr>
        <w:t xml:space="preserve">, acknowledging that people with </w:t>
      </w:r>
      <w:r w:rsidR="00D7471A" w:rsidRPr="00574CF8">
        <w:rPr>
          <w:color w:val="auto"/>
        </w:rPr>
        <w:t xml:space="preserve">disability </w:t>
      </w:r>
      <w:r w:rsidR="00C1542D" w:rsidRPr="00574CF8">
        <w:rPr>
          <w:color w:val="auto"/>
        </w:rPr>
        <w:t xml:space="preserve">experience increased risk. </w:t>
      </w:r>
    </w:p>
    <w:p w14:paraId="15511045" w14:textId="23EB7423" w:rsidR="00C1542D" w:rsidRPr="00574CF8" w:rsidRDefault="00682549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O</w:t>
      </w:r>
      <w:r w:rsidR="00C1542D" w:rsidRPr="00574CF8">
        <w:rPr>
          <w:color w:val="auto"/>
        </w:rPr>
        <w:t>utline how</w:t>
      </w:r>
      <w:r w:rsidR="00C1542D" w:rsidRPr="00574CF8">
        <w:rPr>
          <w:b/>
          <w:bCs/>
          <w:color w:val="auto"/>
        </w:rPr>
        <w:t xml:space="preserve"> safeguards processes and mechanisms</w:t>
      </w:r>
      <w:r w:rsidR="00C1542D" w:rsidRPr="00574CF8">
        <w:rPr>
          <w:color w:val="auto"/>
        </w:rPr>
        <w:t xml:space="preserve"> </w:t>
      </w:r>
      <w:r w:rsidR="00C1542D" w:rsidRPr="00574CF8">
        <w:rPr>
          <w:b/>
          <w:bCs/>
          <w:color w:val="auto"/>
        </w:rPr>
        <w:t>will be made accessible</w:t>
      </w:r>
      <w:r w:rsidR="00C1542D" w:rsidRPr="00574CF8">
        <w:rPr>
          <w:color w:val="auto"/>
        </w:rPr>
        <w:t xml:space="preserve"> for people with </w:t>
      </w:r>
      <w:r w:rsidR="00D7471A" w:rsidRPr="00574CF8">
        <w:rPr>
          <w:color w:val="auto"/>
        </w:rPr>
        <w:t>disability</w:t>
      </w:r>
      <w:r w:rsidR="00C1542D" w:rsidRPr="00574CF8">
        <w:rPr>
          <w:color w:val="auto"/>
        </w:rPr>
        <w:t xml:space="preserve">. </w:t>
      </w:r>
    </w:p>
    <w:p w14:paraId="434045A5" w14:textId="77777777" w:rsidR="00682549" w:rsidRPr="00574CF8" w:rsidRDefault="00682549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>Consider</w:t>
      </w:r>
      <w:r w:rsidR="00C1542D" w:rsidRPr="00574CF8">
        <w:rPr>
          <w:color w:val="auto"/>
        </w:rPr>
        <w:t xml:space="preserve"> whether the investment could </w:t>
      </w:r>
      <w:r w:rsidR="00C1542D" w:rsidRPr="00574CF8">
        <w:rPr>
          <w:b/>
          <w:bCs/>
          <w:color w:val="auto"/>
        </w:rPr>
        <w:t>inadvertently exacerbate the exclusion</w:t>
      </w:r>
      <w:r w:rsidR="00C1542D" w:rsidRPr="00574CF8">
        <w:rPr>
          <w:color w:val="auto"/>
        </w:rPr>
        <w:t xml:space="preserve"> of people with </w:t>
      </w:r>
      <w:r w:rsidR="00D7471A" w:rsidRPr="00574CF8">
        <w:rPr>
          <w:color w:val="auto"/>
        </w:rPr>
        <w:t>disability</w:t>
      </w:r>
      <w:r w:rsidR="00C1542D" w:rsidRPr="00574CF8">
        <w:rPr>
          <w:color w:val="auto"/>
        </w:rPr>
        <w:t xml:space="preserve">, and whether inadequately addressing disability equity could constrain progress on the investment’s objectives. </w:t>
      </w:r>
    </w:p>
    <w:p w14:paraId="6B27AEDD" w14:textId="77777777" w:rsidR="00C46277" w:rsidRPr="00574CF8" w:rsidRDefault="00C46277" w:rsidP="00543A44">
      <w:pPr>
        <w:pStyle w:val="BodyCopyBullets"/>
        <w:numPr>
          <w:ilvl w:val="0"/>
          <w:numId w:val="50"/>
        </w:numPr>
        <w:ind w:left="340" w:hanging="340"/>
        <w:rPr>
          <w:color w:val="auto"/>
        </w:rPr>
      </w:pPr>
      <w:r w:rsidRPr="00574CF8">
        <w:rPr>
          <w:color w:val="auto"/>
        </w:rPr>
        <w:t xml:space="preserve">Recognise </w:t>
      </w:r>
      <w:r w:rsidRPr="00574CF8">
        <w:rPr>
          <w:b/>
          <w:bCs/>
          <w:color w:val="auto"/>
        </w:rPr>
        <w:t>other disability-specific risks</w:t>
      </w:r>
      <w:r w:rsidRPr="00574CF8">
        <w:rPr>
          <w:color w:val="auto"/>
        </w:rPr>
        <w:t xml:space="preserve">, such as: </w:t>
      </w:r>
    </w:p>
    <w:p w14:paraId="770BC966" w14:textId="655183CD" w:rsidR="00C46277" w:rsidRPr="00574CF8" w:rsidRDefault="00C46277" w:rsidP="00543A44">
      <w:pPr>
        <w:pStyle w:val="BodyCopyBullets"/>
        <w:numPr>
          <w:ilvl w:val="1"/>
          <w:numId w:val="50"/>
        </w:numPr>
        <w:rPr>
          <w:color w:val="auto"/>
        </w:rPr>
      </w:pPr>
      <w:r w:rsidRPr="00574CF8">
        <w:rPr>
          <w:b/>
          <w:bCs/>
          <w:color w:val="auto"/>
        </w:rPr>
        <w:t>Limited</w:t>
      </w:r>
      <w:r w:rsidRPr="00574CF8">
        <w:rPr>
          <w:color w:val="auto"/>
        </w:rPr>
        <w:t xml:space="preserve"> </w:t>
      </w:r>
      <w:r w:rsidRPr="00574CF8">
        <w:rPr>
          <w:b/>
          <w:bCs/>
          <w:color w:val="auto"/>
        </w:rPr>
        <w:t>disability expertise</w:t>
      </w:r>
      <w:r w:rsidRPr="00574CF8">
        <w:rPr>
          <w:color w:val="auto"/>
        </w:rPr>
        <w:t xml:space="preserve"> amongst implementing partners.</w:t>
      </w:r>
    </w:p>
    <w:p w14:paraId="6510245F" w14:textId="77777777" w:rsidR="00132B8D" w:rsidRPr="00574CF8" w:rsidRDefault="00C46277" w:rsidP="00543A44">
      <w:pPr>
        <w:pStyle w:val="BodyCopyBullets"/>
        <w:numPr>
          <w:ilvl w:val="1"/>
          <w:numId w:val="50"/>
        </w:numPr>
        <w:rPr>
          <w:color w:val="auto"/>
        </w:rPr>
      </w:pPr>
      <w:r w:rsidRPr="00574CF8">
        <w:rPr>
          <w:b/>
          <w:bCs/>
          <w:color w:val="auto"/>
        </w:rPr>
        <w:t>Insufficient consultation</w:t>
      </w:r>
      <w:r w:rsidRPr="00574CF8">
        <w:rPr>
          <w:color w:val="auto"/>
        </w:rPr>
        <w:t xml:space="preserve"> with diverse people with disability and their representative organisations, leading to ineffective or exclusionary outcome</w:t>
      </w:r>
      <w:r w:rsidR="00147233" w:rsidRPr="00574CF8">
        <w:rPr>
          <w:color w:val="auto"/>
        </w:rPr>
        <w:t xml:space="preserve">s. </w:t>
      </w:r>
    </w:p>
    <w:p w14:paraId="1A3A4199" w14:textId="58BB6124" w:rsidR="00C46277" w:rsidRPr="00574CF8" w:rsidRDefault="00132B8D" w:rsidP="00543A44">
      <w:pPr>
        <w:pStyle w:val="BodyCopyBullets"/>
        <w:numPr>
          <w:ilvl w:val="1"/>
          <w:numId w:val="50"/>
        </w:numPr>
        <w:rPr>
          <w:color w:val="auto"/>
        </w:rPr>
      </w:pPr>
      <w:r w:rsidRPr="00574CF8">
        <w:rPr>
          <w:b/>
          <w:bCs/>
          <w:color w:val="auto"/>
        </w:rPr>
        <w:t>OPDs may not have time or interest</w:t>
      </w:r>
      <w:r w:rsidRPr="00574CF8">
        <w:rPr>
          <w:color w:val="auto"/>
        </w:rPr>
        <w:t xml:space="preserve"> to engage if not align</w:t>
      </w:r>
      <w:r w:rsidR="001F6189" w:rsidRPr="00574CF8">
        <w:rPr>
          <w:color w:val="auto"/>
        </w:rPr>
        <w:t>ed</w:t>
      </w:r>
      <w:r w:rsidRPr="00574CF8">
        <w:rPr>
          <w:color w:val="auto"/>
        </w:rPr>
        <w:t xml:space="preserve"> with priorities or capacity.</w:t>
      </w:r>
    </w:p>
    <w:p w14:paraId="47F34181" w14:textId="11265422" w:rsidR="00C46277" w:rsidRPr="00574CF8" w:rsidRDefault="00C46277" w:rsidP="00543A44">
      <w:pPr>
        <w:pStyle w:val="BodyCopyBullets"/>
        <w:numPr>
          <w:ilvl w:val="1"/>
          <w:numId w:val="50"/>
        </w:numPr>
        <w:rPr>
          <w:color w:val="auto"/>
        </w:rPr>
      </w:pPr>
      <w:r w:rsidRPr="00574CF8">
        <w:rPr>
          <w:b/>
          <w:bCs/>
          <w:color w:val="auto"/>
        </w:rPr>
        <w:t xml:space="preserve">Inadequate resource allocation </w:t>
      </w:r>
      <w:r w:rsidRPr="00574CF8">
        <w:rPr>
          <w:color w:val="auto"/>
        </w:rPr>
        <w:t>for</w:t>
      </w:r>
      <w:r w:rsidRPr="00574CF8">
        <w:rPr>
          <w:b/>
          <w:bCs/>
          <w:color w:val="auto"/>
        </w:rPr>
        <w:t xml:space="preserve"> </w:t>
      </w:r>
      <w:r w:rsidRPr="00574CF8">
        <w:rPr>
          <w:color w:val="auto"/>
        </w:rPr>
        <w:t>disability equity and rights.</w:t>
      </w:r>
    </w:p>
    <w:p w14:paraId="5A24D12C" w14:textId="460752BB" w:rsidR="00C46277" w:rsidRPr="00574CF8" w:rsidRDefault="00C46277" w:rsidP="00543A44">
      <w:pPr>
        <w:pStyle w:val="BodyCopyBullets"/>
        <w:numPr>
          <w:ilvl w:val="1"/>
          <w:numId w:val="50"/>
        </w:numPr>
        <w:rPr>
          <w:color w:val="auto"/>
        </w:rPr>
      </w:pPr>
      <w:r w:rsidRPr="00574CF8">
        <w:rPr>
          <w:b/>
          <w:bCs/>
          <w:color w:val="auto"/>
        </w:rPr>
        <w:t>Inaccessible communication, facilities or processes</w:t>
      </w:r>
      <w:r w:rsidRPr="00574CF8">
        <w:rPr>
          <w:color w:val="auto"/>
        </w:rPr>
        <w:t xml:space="preserve"> that hinder participation of people with disability.</w:t>
      </w:r>
    </w:p>
    <w:p w14:paraId="664E1913" w14:textId="6E5CA0ED" w:rsidR="00DA4AE4" w:rsidRPr="00574CF8" w:rsidRDefault="004A6A81" w:rsidP="00DA4AE4">
      <w:pPr>
        <w:pStyle w:val="H2-Heading2"/>
        <w:rPr>
          <w:rFonts w:asciiTheme="minorHAnsi" w:hAnsiTheme="minorHAnsi" w:cstheme="minorHAnsi"/>
          <w:color w:val="auto"/>
        </w:rPr>
      </w:pPr>
      <w:r w:rsidRPr="00574CF8">
        <w:rPr>
          <w:rFonts w:asciiTheme="minorHAnsi" w:hAnsiTheme="minorHAnsi" w:cstheme="minorHAnsi"/>
          <w:color w:val="auto"/>
        </w:rPr>
        <w:t>4</w:t>
      </w:r>
      <w:r w:rsidR="00DA4AE4" w:rsidRPr="00574CF8">
        <w:rPr>
          <w:rFonts w:asciiTheme="minorHAnsi" w:hAnsiTheme="minorHAnsi" w:cstheme="minorHAnsi"/>
          <w:color w:val="auto"/>
        </w:rPr>
        <w:t xml:space="preserve">. Further information and advice </w:t>
      </w:r>
      <w:r w:rsidR="00DA4AE4" w:rsidRPr="00574CF8">
        <w:rPr>
          <w:color w:val="auto"/>
        </w:rPr>
        <w:tab/>
      </w:r>
    </w:p>
    <w:p w14:paraId="7E05E07D" w14:textId="3F8C97DB" w:rsidR="007F6492" w:rsidRPr="007F6492" w:rsidRDefault="00DA4AE4" w:rsidP="00A55C51">
      <w:pPr>
        <w:pStyle w:val="BodyCopy"/>
        <w:tabs>
          <w:tab w:val="center" w:pos="5102"/>
        </w:tabs>
      </w:pPr>
      <w:r w:rsidRPr="00574CF8">
        <w:rPr>
          <w:color w:val="auto"/>
        </w:rPr>
        <w:t>For further assistance or advice on disability equity, please contact</w:t>
      </w:r>
      <w:r w:rsidR="00C1152B" w:rsidRPr="00574CF8">
        <w:rPr>
          <w:color w:val="auto"/>
        </w:rPr>
        <w:t xml:space="preserve"> </w:t>
      </w:r>
      <w:hyperlink r:id="rId16" w:history="1">
        <w:r w:rsidR="00C1152B" w:rsidRPr="00574CF8">
          <w:rPr>
            <w:rStyle w:val="Hyperlink"/>
            <w:color w:val="auto"/>
          </w:rPr>
          <w:t>GEDSI.GEB@dfat.gov.au</w:t>
        </w:r>
      </w:hyperlink>
      <w:r w:rsidR="00C1152B" w:rsidRPr="00574CF8">
        <w:rPr>
          <w:color w:val="auto"/>
        </w:rPr>
        <w:t xml:space="preserve"> </w:t>
      </w:r>
      <w:r w:rsidR="007F6492">
        <w:tab/>
      </w:r>
    </w:p>
    <w:sectPr w:rsidR="007F6492" w:rsidRPr="007F6492" w:rsidSect="00F40D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851" w:bottom="0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4379" w14:textId="77777777" w:rsidR="009F7CF6" w:rsidRDefault="009F7CF6" w:rsidP="00EE32FE">
      <w:pPr>
        <w:spacing w:after="0"/>
      </w:pPr>
      <w:r>
        <w:separator/>
      </w:r>
    </w:p>
  </w:endnote>
  <w:endnote w:type="continuationSeparator" w:id="0">
    <w:p w14:paraId="0A79A637" w14:textId="77777777" w:rsidR="009F7CF6" w:rsidRDefault="009F7CF6" w:rsidP="00EE3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F645" w14:textId="77777777" w:rsidR="00170E80" w:rsidRDefault="0017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20F9" w14:textId="77777777" w:rsidR="001869DB" w:rsidRPr="007F6492" w:rsidRDefault="007F6492" w:rsidP="007F6492">
    <w:pPr>
      <w:pStyle w:val="Footer"/>
      <w:rPr>
        <w:color w:val="FFFFFF" w:themeColor="background1"/>
      </w:rPr>
    </w:pPr>
    <w:r w:rsidRPr="007F6492">
      <w:rPr>
        <w:noProof/>
        <w:color w:val="FFFFFF" w:themeColor="background1"/>
      </w:rPr>
      <w:drawing>
        <wp:anchor distT="0" distB="0" distL="114300" distR="114300" simplePos="0" relativeHeight="251672576" behindDoc="1" locked="0" layoutInCell="1" allowOverlap="1" wp14:anchorId="0371DCD7" wp14:editId="4231D27C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645356915" name="Picture 6453569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6F01AE04" w14:textId="77777777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70528" behindDoc="1" locked="0" layoutInCell="1" allowOverlap="1" wp14:anchorId="60EE304E" wp14:editId="3A241FF3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6962775" cy="365810"/>
              <wp:effectExtent l="0" t="0" r="0" b="0"/>
              <wp:wrapNone/>
              <wp:docPr id="663483339" name="Picture 6634833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C996" w14:textId="77777777" w:rsidR="009F7CF6" w:rsidRDefault="009F7CF6" w:rsidP="00EE32FE">
      <w:pPr>
        <w:spacing w:after="0"/>
      </w:pPr>
      <w:bookmarkStart w:id="0" w:name="_Hlk127364773"/>
      <w:bookmarkEnd w:id="0"/>
      <w:r>
        <w:separator/>
      </w:r>
    </w:p>
  </w:footnote>
  <w:footnote w:type="continuationSeparator" w:id="0">
    <w:p w14:paraId="6A7622C6" w14:textId="77777777" w:rsidR="009F7CF6" w:rsidRDefault="009F7CF6" w:rsidP="00EE32FE">
      <w:pPr>
        <w:spacing w:after="0"/>
      </w:pPr>
      <w:r>
        <w:continuationSeparator/>
      </w:r>
    </w:p>
  </w:footnote>
  <w:footnote w:id="1">
    <w:p w14:paraId="6F940AD8" w14:textId="14639B2F" w:rsidR="00146DC1" w:rsidRPr="006F69B6" w:rsidRDefault="00146DC1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AF17C1" w:rsidRPr="006F69B6">
        <w:rPr>
          <w:rFonts w:ascii="Source Sans Pro" w:hAnsi="Source Sans Pro"/>
          <w:i/>
          <w:iCs/>
          <w:color w:val="2D2D2D"/>
          <w:spacing w:val="-2"/>
          <w:sz w:val="18"/>
          <w:szCs w:val="18"/>
        </w:rPr>
        <w:t>Prepared under the DFAT – CBM Australia Technical Partnership, an Australian aid initiative implemented by CBM Australia and the Nossal Institute for Global Health at the University of Melbourne. July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F1AE" w14:textId="77777777" w:rsidR="00170E80" w:rsidRDefault="0017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AAE5" w14:textId="77777777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36C589C1" wp14:editId="300863F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E3E8DB" w14:textId="318B05AE" w:rsidR="00F74B5D" w:rsidRPr="007F6492" w:rsidRDefault="007F6492" w:rsidP="00170E8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0E8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589C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60E3E8DB" w14:textId="318B05AE" w:rsidR="00F74B5D" w:rsidRPr="007F6492" w:rsidRDefault="007F6492" w:rsidP="00170E8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0E8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9263" behindDoc="0" locked="0" layoutInCell="1" allowOverlap="1" wp14:anchorId="37E2A675" wp14:editId="0D189752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295604634" name="Picture 2956046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AF30" w14:textId="77777777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0C64C999" wp14:editId="3D65C1F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39C01A" w14:textId="1B06E066" w:rsidR="00F74B5D" w:rsidRPr="007F6492" w:rsidRDefault="007F6492" w:rsidP="00170E8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0E8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4C999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239C01A" w14:textId="1B06E066" w:rsidR="00F74B5D" w:rsidRPr="007F6492" w:rsidRDefault="007F6492" w:rsidP="00170E8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0E8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61312" behindDoc="0" locked="0" layoutInCell="1" allowOverlap="1" wp14:anchorId="5D1C8BB9" wp14:editId="2B290D41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54405047" name="Picture 1544050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B4"/>
    <w:multiLevelType w:val="hybridMultilevel"/>
    <w:tmpl w:val="15DC1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20D"/>
    <w:multiLevelType w:val="hybridMultilevel"/>
    <w:tmpl w:val="A496BFC8"/>
    <w:lvl w:ilvl="0" w:tplc="F0988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5A4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324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424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E2F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DC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B67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E88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8CD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0571CF3"/>
    <w:multiLevelType w:val="hybridMultilevel"/>
    <w:tmpl w:val="93907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7427"/>
    <w:multiLevelType w:val="hybridMultilevel"/>
    <w:tmpl w:val="B512EB3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830DAF"/>
    <w:multiLevelType w:val="hybridMultilevel"/>
    <w:tmpl w:val="5216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43E0C"/>
    <w:multiLevelType w:val="hybridMultilevel"/>
    <w:tmpl w:val="4200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BE4"/>
    <w:multiLevelType w:val="hybridMultilevel"/>
    <w:tmpl w:val="D6D4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6277"/>
    <w:multiLevelType w:val="hybridMultilevel"/>
    <w:tmpl w:val="97F40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631"/>
    <w:multiLevelType w:val="multilevel"/>
    <w:tmpl w:val="70F0074A"/>
    <w:lvl w:ilvl="0">
      <w:start w:val="1"/>
      <w:numFmt w:val="bullet"/>
      <w:pStyle w:val="ListParagraph"/>
      <w:lvlText w:val=""/>
      <w:lvlJc w:val="left"/>
      <w:pPr>
        <w:ind w:left="363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930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97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064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2631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8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65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32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99" w:hanging="363"/>
      </w:pPr>
      <w:rPr>
        <w:rFonts w:ascii="Wingdings" w:hAnsi="Wingdings" w:hint="default"/>
      </w:rPr>
    </w:lvl>
  </w:abstractNum>
  <w:abstractNum w:abstractNumId="10" w15:restartNumberingAfterBreak="0">
    <w:nsid w:val="29461BDF"/>
    <w:multiLevelType w:val="hybridMultilevel"/>
    <w:tmpl w:val="845C2A54"/>
    <w:lvl w:ilvl="0" w:tplc="7FE852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4B33"/>
    <w:multiLevelType w:val="hybridMultilevel"/>
    <w:tmpl w:val="9D3EF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A7042"/>
    <w:multiLevelType w:val="hybridMultilevel"/>
    <w:tmpl w:val="E104D6D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1DF6"/>
    <w:multiLevelType w:val="hybridMultilevel"/>
    <w:tmpl w:val="4566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C63CC"/>
    <w:multiLevelType w:val="hybridMultilevel"/>
    <w:tmpl w:val="BF965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FB7"/>
    <w:multiLevelType w:val="hybridMultilevel"/>
    <w:tmpl w:val="8424DEFE"/>
    <w:lvl w:ilvl="0" w:tplc="2FE82136">
      <w:start w:val="1"/>
      <w:numFmt w:val="bullet"/>
      <w:pStyle w:val="BodyCop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53D9F"/>
    <w:multiLevelType w:val="multilevel"/>
    <w:tmpl w:val="A6FA45D0"/>
    <w:numStyleLink w:val="BulletsList"/>
  </w:abstractNum>
  <w:abstractNum w:abstractNumId="18" w15:restartNumberingAfterBreak="0">
    <w:nsid w:val="5ED31E21"/>
    <w:multiLevelType w:val="hybridMultilevel"/>
    <w:tmpl w:val="048A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940E7"/>
    <w:multiLevelType w:val="hybridMultilevel"/>
    <w:tmpl w:val="2ECA7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1815"/>
    <w:multiLevelType w:val="hybridMultilevel"/>
    <w:tmpl w:val="CEA4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447"/>
    <w:multiLevelType w:val="hybridMultilevel"/>
    <w:tmpl w:val="BB961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6CA060B"/>
    <w:multiLevelType w:val="hybridMultilevel"/>
    <w:tmpl w:val="46CC7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CB588C"/>
    <w:multiLevelType w:val="hybridMultilevel"/>
    <w:tmpl w:val="069AA5AA"/>
    <w:lvl w:ilvl="0" w:tplc="29AE85C2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06256"/>
    <w:multiLevelType w:val="hybridMultilevel"/>
    <w:tmpl w:val="8A8A3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299384247">
    <w:abstractNumId w:val="13"/>
  </w:num>
  <w:num w:numId="2" w16cid:durableId="1828399273">
    <w:abstractNumId w:val="13"/>
    <w:lvlOverride w:ilvl="0">
      <w:startOverride w:val="1"/>
    </w:lvlOverride>
  </w:num>
  <w:num w:numId="3" w16cid:durableId="2070421496">
    <w:abstractNumId w:val="13"/>
    <w:lvlOverride w:ilvl="0">
      <w:startOverride w:val="1"/>
    </w:lvlOverride>
  </w:num>
  <w:num w:numId="4" w16cid:durableId="287473422">
    <w:abstractNumId w:val="16"/>
  </w:num>
  <w:num w:numId="5" w16cid:durableId="565340769">
    <w:abstractNumId w:val="5"/>
  </w:num>
  <w:num w:numId="6" w16cid:durableId="1348170490">
    <w:abstractNumId w:val="13"/>
    <w:lvlOverride w:ilvl="0">
      <w:startOverride w:val="1"/>
    </w:lvlOverride>
  </w:num>
  <w:num w:numId="7" w16cid:durableId="983511684">
    <w:abstractNumId w:val="13"/>
    <w:lvlOverride w:ilvl="0">
      <w:startOverride w:val="1"/>
    </w:lvlOverride>
  </w:num>
  <w:num w:numId="8" w16cid:durableId="1500853671">
    <w:abstractNumId w:val="13"/>
    <w:lvlOverride w:ilvl="0">
      <w:startOverride w:val="1"/>
    </w:lvlOverride>
  </w:num>
  <w:num w:numId="9" w16cid:durableId="722564591">
    <w:abstractNumId w:val="8"/>
  </w:num>
  <w:num w:numId="10" w16cid:durableId="137116239">
    <w:abstractNumId w:val="9"/>
  </w:num>
  <w:num w:numId="11" w16cid:durableId="514729175">
    <w:abstractNumId w:val="25"/>
  </w:num>
  <w:num w:numId="12" w16cid:durableId="1963417147">
    <w:abstractNumId w:val="1"/>
  </w:num>
  <w:num w:numId="13" w16cid:durableId="1060444010">
    <w:abstractNumId w:val="16"/>
  </w:num>
  <w:num w:numId="14" w16cid:durableId="962461848">
    <w:abstractNumId w:val="21"/>
  </w:num>
  <w:num w:numId="15" w16cid:durableId="1877044370">
    <w:abstractNumId w:val="16"/>
  </w:num>
  <w:num w:numId="16" w16cid:durableId="196164567">
    <w:abstractNumId w:val="16"/>
  </w:num>
  <w:num w:numId="17" w16cid:durableId="1326082865">
    <w:abstractNumId w:val="3"/>
  </w:num>
  <w:num w:numId="18" w16cid:durableId="1693602333">
    <w:abstractNumId w:val="16"/>
  </w:num>
  <w:num w:numId="19" w16cid:durableId="1706982497">
    <w:abstractNumId w:val="18"/>
  </w:num>
  <w:num w:numId="20" w16cid:durableId="1046755652">
    <w:abstractNumId w:val="16"/>
  </w:num>
  <w:num w:numId="21" w16cid:durableId="497576414">
    <w:abstractNumId w:val="15"/>
  </w:num>
  <w:num w:numId="22" w16cid:durableId="666439836">
    <w:abstractNumId w:val="16"/>
  </w:num>
  <w:num w:numId="23" w16cid:durableId="748500793">
    <w:abstractNumId w:val="26"/>
  </w:num>
  <w:num w:numId="24" w16cid:durableId="578708025">
    <w:abstractNumId w:val="20"/>
  </w:num>
  <w:num w:numId="25" w16cid:durableId="1280919950">
    <w:abstractNumId w:val="16"/>
  </w:num>
  <w:num w:numId="26" w16cid:durableId="2136019362">
    <w:abstractNumId w:val="12"/>
  </w:num>
  <w:num w:numId="27" w16cid:durableId="419299774">
    <w:abstractNumId w:val="16"/>
  </w:num>
  <w:num w:numId="28" w16cid:durableId="75902729">
    <w:abstractNumId w:val="7"/>
  </w:num>
  <w:num w:numId="29" w16cid:durableId="130438685">
    <w:abstractNumId w:val="16"/>
  </w:num>
  <w:num w:numId="30" w16cid:durableId="69274359">
    <w:abstractNumId w:val="19"/>
  </w:num>
  <w:num w:numId="31" w16cid:durableId="1170604463">
    <w:abstractNumId w:val="16"/>
  </w:num>
  <w:num w:numId="32" w16cid:durableId="1702629605">
    <w:abstractNumId w:val="16"/>
  </w:num>
  <w:num w:numId="33" w16cid:durableId="1546335181">
    <w:abstractNumId w:val="2"/>
  </w:num>
  <w:num w:numId="34" w16cid:durableId="625619226">
    <w:abstractNumId w:val="16"/>
  </w:num>
  <w:num w:numId="35" w16cid:durableId="1896625246">
    <w:abstractNumId w:val="16"/>
  </w:num>
  <w:num w:numId="36" w16cid:durableId="295180255">
    <w:abstractNumId w:val="0"/>
  </w:num>
  <w:num w:numId="37" w16cid:durableId="118303096">
    <w:abstractNumId w:val="4"/>
  </w:num>
  <w:num w:numId="38" w16cid:durableId="1065570927">
    <w:abstractNumId w:val="16"/>
  </w:num>
  <w:num w:numId="39" w16cid:durableId="1300116181">
    <w:abstractNumId w:val="16"/>
  </w:num>
  <w:num w:numId="40" w16cid:durableId="119420058">
    <w:abstractNumId w:val="10"/>
  </w:num>
  <w:num w:numId="41" w16cid:durableId="676810137">
    <w:abstractNumId w:val="6"/>
  </w:num>
  <w:num w:numId="42" w16cid:durableId="634407780">
    <w:abstractNumId w:val="11"/>
  </w:num>
  <w:num w:numId="43" w16cid:durableId="1130168551">
    <w:abstractNumId w:val="16"/>
  </w:num>
  <w:num w:numId="44" w16cid:durableId="76564165">
    <w:abstractNumId w:val="22"/>
  </w:num>
  <w:num w:numId="45" w16cid:durableId="660472663">
    <w:abstractNumId w:val="17"/>
  </w:num>
  <w:num w:numId="46" w16cid:durableId="1860965135">
    <w:abstractNumId w:val="16"/>
  </w:num>
  <w:num w:numId="47" w16cid:durableId="972978644">
    <w:abstractNumId w:val="24"/>
  </w:num>
  <w:num w:numId="48" w16cid:durableId="645933278">
    <w:abstractNumId w:val="16"/>
  </w:num>
  <w:num w:numId="49" w16cid:durableId="1866819813">
    <w:abstractNumId w:val="23"/>
  </w:num>
  <w:num w:numId="50" w16cid:durableId="583034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4"/>
    <w:rsid w:val="00004ADD"/>
    <w:rsid w:val="00007086"/>
    <w:rsid w:val="00014E22"/>
    <w:rsid w:val="0001674D"/>
    <w:rsid w:val="000174B4"/>
    <w:rsid w:val="00025428"/>
    <w:rsid w:val="00027639"/>
    <w:rsid w:val="00030679"/>
    <w:rsid w:val="00031FD4"/>
    <w:rsid w:val="000400F4"/>
    <w:rsid w:val="0004165A"/>
    <w:rsid w:val="00043A65"/>
    <w:rsid w:val="0004563C"/>
    <w:rsid w:val="00053508"/>
    <w:rsid w:val="00057BB7"/>
    <w:rsid w:val="00063115"/>
    <w:rsid w:val="0007092D"/>
    <w:rsid w:val="00070A81"/>
    <w:rsid w:val="00083882"/>
    <w:rsid w:val="00083CB4"/>
    <w:rsid w:val="000930B5"/>
    <w:rsid w:val="000A492B"/>
    <w:rsid w:val="000A52A5"/>
    <w:rsid w:val="000B07F3"/>
    <w:rsid w:val="000B1C2D"/>
    <w:rsid w:val="000C6CE8"/>
    <w:rsid w:val="000D00EF"/>
    <w:rsid w:val="000D0F16"/>
    <w:rsid w:val="000D1D43"/>
    <w:rsid w:val="000D61BA"/>
    <w:rsid w:val="000E1ECB"/>
    <w:rsid w:val="000E26E2"/>
    <w:rsid w:val="000E7417"/>
    <w:rsid w:val="000E769C"/>
    <w:rsid w:val="000F0544"/>
    <w:rsid w:val="000F1407"/>
    <w:rsid w:val="000F210E"/>
    <w:rsid w:val="000F441D"/>
    <w:rsid w:val="000F6A29"/>
    <w:rsid w:val="00100F60"/>
    <w:rsid w:val="001121CD"/>
    <w:rsid w:val="001201CC"/>
    <w:rsid w:val="0012100A"/>
    <w:rsid w:val="00121463"/>
    <w:rsid w:val="0012308E"/>
    <w:rsid w:val="0012582D"/>
    <w:rsid w:val="00132B8D"/>
    <w:rsid w:val="001405B7"/>
    <w:rsid w:val="001453E3"/>
    <w:rsid w:val="00145F0E"/>
    <w:rsid w:val="00146DC1"/>
    <w:rsid w:val="00147233"/>
    <w:rsid w:val="00151B1F"/>
    <w:rsid w:val="00152DD5"/>
    <w:rsid w:val="001539CF"/>
    <w:rsid w:val="001544DB"/>
    <w:rsid w:val="00157854"/>
    <w:rsid w:val="001703A2"/>
    <w:rsid w:val="00170E80"/>
    <w:rsid w:val="0018271C"/>
    <w:rsid w:val="001869DB"/>
    <w:rsid w:val="001916BA"/>
    <w:rsid w:val="00192958"/>
    <w:rsid w:val="0019463F"/>
    <w:rsid w:val="001A4BD2"/>
    <w:rsid w:val="001A678C"/>
    <w:rsid w:val="001A6AF2"/>
    <w:rsid w:val="001A75CC"/>
    <w:rsid w:val="001B2998"/>
    <w:rsid w:val="001B3BD8"/>
    <w:rsid w:val="001B4EFB"/>
    <w:rsid w:val="001B5F7F"/>
    <w:rsid w:val="001B7060"/>
    <w:rsid w:val="001C0402"/>
    <w:rsid w:val="001D29C1"/>
    <w:rsid w:val="001E14DE"/>
    <w:rsid w:val="001E7A39"/>
    <w:rsid w:val="001F1CB4"/>
    <w:rsid w:val="001F5A89"/>
    <w:rsid w:val="001F6189"/>
    <w:rsid w:val="00206DD3"/>
    <w:rsid w:val="00210AF5"/>
    <w:rsid w:val="002129CC"/>
    <w:rsid w:val="002165E1"/>
    <w:rsid w:val="0021791D"/>
    <w:rsid w:val="00226666"/>
    <w:rsid w:val="00232F10"/>
    <w:rsid w:val="00240CA7"/>
    <w:rsid w:val="00243946"/>
    <w:rsid w:val="00245966"/>
    <w:rsid w:val="00246196"/>
    <w:rsid w:val="00257926"/>
    <w:rsid w:val="00260452"/>
    <w:rsid w:val="0026131C"/>
    <w:rsid w:val="00264617"/>
    <w:rsid w:val="00284023"/>
    <w:rsid w:val="00286BED"/>
    <w:rsid w:val="002903BA"/>
    <w:rsid w:val="0029053D"/>
    <w:rsid w:val="002923D5"/>
    <w:rsid w:val="002965B1"/>
    <w:rsid w:val="00297516"/>
    <w:rsid w:val="002A7402"/>
    <w:rsid w:val="002B1FEF"/>
    <w:rsid w:val="002C1236"/>
    <w:rsid w:val="002C7D14"/>
    <w:rsid w:val="002D53C5"/>
    <w:rsid w:val="002E5F4B"/>
    <w:rsid w:val="002F075E"/>
    <w:rsid w:val="00301266"/>
    <w:rsid w:val="003048DB"/>
    <w:rsid w:val="00327A28"/>
    <w:rsid w:val="0033362B"/>
    <w:rsid w:val="003379E5"/>
    <w:rsid w:val="003437F1"/>
    <w:rsid w:val="00343F6F"/>
    <w:rsid w:val="00356A1B"/>
    <w:rsid w:val="00356CF1"/>
    <w:rsid w:val="00357D70"/>
    <w:rsid w:val="003603E7"/>
    <w:rsid w:val="00365BE9"/>
    <w:rsid w:val="003756D4"/>
    <w:rsid w:val="0038375F"/>
    <w:rsid w:val="00385FB5"/>
    <w:rsid w:val="00397AB6"/>
    <w:rsid w:val="003A03F3"/>
    <w:rsid w:val="003A68D8"/>
    <w:rsid w:val="003A7131"/>
    <w:rsid w:val="003C3CAE"/>
    <w:rsid w:val="003C5C40"/>
    <w:rsid w:val="003C5DF1"/>
    <w:rsid w:val="003D3D4F"/>
    <w:rsid w:val="003E11AE"/>
    <w:rsid w:val="003F0AEB"/>
    <w:rsid w:val="003F2597"/>
    <w:rsid w:val="003F76A7"/>
    <w:rsid w:val="00403D25"/>
    <w:rsid w:val="004041C7"/>
    <w:rsid w:val="004072C6"/>
    <w:rsid w:val="00413A3E"/>
    <w:rsid w:val="004141EA"/>
    <w:rsid w:val="00415558"/>
    <w:rsid w:val="004155E7"/>
    <w:rsid w:val="0042027C"/>
    <w:rsid w:val="00423637"/>
    <w:rsid w:val="00434C3F"/>
    <w:rsid w:val="00436841"/>
    <w:rsid w:val="00441D87"/>
    <w:rsid w:val="004454CF"/>
    <w:rsid w:val="00446A7E"/>
    <w:rsid w:val="00453944"/>
    <w:rsid w:val="00461D63"/>
    <w:rsid w:val="00465A03"/>
    <w:rsid w:val="004669A5"/>
    <w:rsid w:val="004716DD"/>
    <w:rsid w:val="00484FBC"/>
    <w:rsid w:val="004865DE"/>
    <w:rsid w:val="0049004A"/>
    <w:rsid w:val="00491690"/>
    <w:rsid w:val="00492C85"/>
    <w:rsid w:val="004A214E"/>
    <w:rsid w:val="004A6A81"/>
    <w:rsid w:val="004C3ECA"/>
    <w:rsid w:val="004D0EF0"/>
    <w:rsid w:val="004D1D85"/>
    <w:rsid w:val="004D57F8"/>
    <w:rsid w:val="004E2E21"/>
    <w:rsid w:val="004F02D7"/>
    <w:rsid w:val="004F1AA1"/>
    <w:rsid w:val="004F34C3"/>
    <w:rsid w:val="004F5AF1"/>
    <w:rsid w:val="00506C66"/>
    <w:rsid w:val="0051407A"/>
    <w:rsid w:val="00516012"/>
    <w:rsid w:val="0051695B"/>
    <w:rsid w:val="005207A8"/>
    <w:rsid w:val="00524F16"/>
    <w:rsid w:val="005265C5"/>
    <w:rsid w:val="00527777"/>
    <w:rsid w:val="00531682"/>
    <w:rsid w:val="00540854"/>
    <w:rsid w:val="00541F33"/>
    <w:rsid w:val="00543A44"/>
    <w:rsid w:val="00545A81"/>
    <w:rsid w:val="00562613"/>
    <w:rsid w:val="0056664C"/>
    <w:rsid w:val="005716D6"/>
    <w:rsid w:val="00572202"/>
    <w:rsid w:val="00574299"/>
    <w:rsid w:val="00574CF8"/>
    <w:rsid w:val="00592E1A"/>
    <w:rsid w:val="00595180"/>
    <w:rsid w:val="005975AC"/>
    <w:rsid w:val="00597672"/>
    <w:rsid w:val="005A4153"/>
    <w:rsid w:val="005A6340"/>
    <w:rsid w:val="005B78E4"/>
    <w:rsid w:val="005C035E"/>
    <w:rsid w:val="005C5396"/>
    <w:rsid w:val="005C72D7"/>
    <w:rsid w:val="005D6B0F"/>
    <w:rsid w:val="005E13FD"/>
    <w:rsid w:val="005F1A4F"/>
    <w:rsid w:val="005F3C34"/>
    <w:rsid w:val="005F6EE5"/>
    <w:rsid w:val="005F702A"/>
    <w:rsid w:val="005F7B84"/>
    <w:rsid w:val="006052A0"/>
    <w:rsid w:val="00611EEE"/>
    <w:rsid w:val="00615414"/>
    <w:rsid w:val="0061567C"/>
    <w:rsid w:val="0061655D"/>
    <w:rsid w:val="006200FF"/>
    <w:rsid w:val="00621232"/>
    <w:rsid w:val="006240CD"/>
    <w:rsid w:val="00631CAD"/>
    <w:rsid w:val="00632DA9"/>
    <w:rsid w:val="0063334E"/>
    <w:rsid w:val="00651D0F"/>
    <w:rsid w:val="00652442"/>
    <w:rsid w:val="00657F10"/>
    <w:rsid w:val="00661961"/>
    <w:rsid w:val="00665DD6"/>
    <w:rsid w:val="0066656C"/>
    <w:rsid w:val="00671161"/>
    <w:rsid w:val="00672D3B"/>
    <w:rsid w:val="00674C1F"/>
    <w:rsid w:val="0067560F"/>
    <w:rsid w:val="00675746"/>
    <w:rsid w:val="006777E7"/>
    <w:rsid w:val="00682549"/>
    <w:rsid w:val="0068257F"/>
    <w:rsid w:val="0068547B"/>
    <w:rsid w:val="006925B2"/>
    <w:rsid w:val="00693DA4"/>
    <w:rsid w:val="00697040"/>
    <w:rsid w:val="006A7F9D"/>
    <w:rsid w:val="006B0929"/>
    <w:rsid w:val="006B1B6F"/>
    <w:rsid w:val="006B309C"/>
    <w:rsid w:val="006C13E7"/>
    <w:rsid w:val="006D18D5"/>
    <w:rsid w:val="006D28B9"/>
    <w:rsid w:val="006D648C"/>
    <w:rsid w:val="006E23EE"/>
    <w:rsid w:val="006E2B79"/>
    <w:rsid w:val="006E3371"/>
    <w:rsid w:val="006E586B"/>
    <w:rsid w:val="006E7046"/>
    <w:rsid w:val="006E726A"/>
    <w:rsid w:val="006F2236"/>
    <w:rsid w:val="006F25BB"/>
    <w:rsid w:val="006F69B6"/>
    <w:rsid w:val="007025C0"/>
    <w:rsid w:val="00703EA7"/>
    <w:rsid w:val="00704B3F"/>
    <w:rsid w:val="00705F23"/>
    <w:rsid w:val="007130DC"/>
    <w:rsid w:val="00713234"/>
    <w:rsid w:val="00714FB7"/>
    <w:rsid w:val="007219B4"/>
    <w:rsid w:val="007231AE"/>
    <w:rsid w:val="0072449E"/>
    <w:rsid w:val="007332ED"/>
    <w:rsid w:val="00735D0F"/>
    <w:rsid w:val="00742820"/>
    <w:rsid w:val="007428ED"/>
    <w:rsid w:val="00742F90"/>
    <w:rsid w:val="007434E3"/>
    <w:rsid w:val="0074672D"/>
    <w:rsid w:val="00751086"/>
    <w:rsid w:val="007537AE"/>
    <w:rsid w:val="00755394"/>
    <w:rsid w:val="00757243"/>
    <w:rsid w:val="00762381"/>
    <w:rsid w:val="00775955"/>
    <w:rsid w:val="00781BDA"/>
    <w:rsid w:val="00790F87"/>
    <w:rsid w:val="00791418"/>
    <w:rsid w:val="00796653"/>
    <w:rsid w:val="0079728E"/>
    <w:rsid w:val="007A40C5"/>
    <w:rsid w:val="007A4847"/>
    <w:rsid w:val="007C1C72"/>
    <w:rsid w:val="007C5166"/>
    <w:rsid w:val="007C6948"/>
    <w:rsid w:val="007D55E1"/>
    <w:rsid w:val="007D68AD"/>
    <w:rsid w:val="007E2D9E"/>
    <w:rsid w:val="007F6492"/>
    <w:rsid w:val="008106AA"/>
    <w:rsid w:val="00811032"/>
    <w:rsid w:val="00814A50"/>
    <w:rsid w:val="00835418"/>
    <w:rsid w:val="00845374"/>
    <w:rsid w:val="00845CE5"/>
    <w:rsid w:val="00847150"/>
    <w:rsid w:val="00847D93"/>
    <w:rsid w:val="00847E87"/>
    <w:rsid w:val="008573E4"/>
    <w:rsid w:val="00863806"/>
    <w:rsid w:val="008735B0"/>
    <w:rsid w:val="0087684E"/>
    <w:rsid w:val="00885FED"/>
    <w:rsid w:val="008868A6"/>
    <w:rsid w:val="00887FB7"/>
    <w:rsid w:val="00893EA6"/>
    <w:rsid w:val="008A0C83"/>
    <w:rsid w:val="008A226C"/>
    <w:rsid w:val="008B40C0"/>
    <w:rsid w:val="008B5CBA"/>
    <w:rsid w:val="008C0C87"/>
    <w:rsid w:val="008C5CDA"/>
    <w:rsid w:val="008E0053"/>
    <w:rsid w:val="008E2399"/>
    <w:rsid w:val="008E6FF3"/>
    <w:rsid w:val="009011EC"/>
    <w:rsid w:val="00911935"/>
    <w:rsid w:val="009136A7"/>
    <w:rsid w:val="0091422B"/>
    <w:rsid w:val="0092133F"/>
    <w:rsid w:val="00930776"/>
    <w:rsid w:val="0093084C"/>
    <w:rsid w:val="00933D87"/>
    <w:rsid w:val="00935649"/>
    <w:rsid w:val="009369CC"/>
    <w:rsid w:val="009631A8"/>
    <w:rsid w:val="009671A0"/>
    <w:rsid w:val="00974191"/>
    <w:rsid w:val="00975374"/>
    <w:rsid w:val="009856DD"/>
    <w:rsid w:val="009911E3"/>
    <w:rsid w:val="009915B7"/>
    <w:rsid w:val="00997D0E"/>
    <w:rsid w:val="009A686C"/>
    <w:rsid w:val="009B0676"/>
    <w:rsid w:val="009B1340"/>
    <w:rsid w:val="009B5A3B"/>
    <w:rsid w:val="009C4F6D"/>
    <w:rsid w:val="009D0CFD"/>
    <w:rsid w:val="009F0384"/>
    <w:rsid w:val="009F09A8"/>
    <w:rsid w:val="009F6C68"/>
    <w:rsid w:val="009F7CF6"/>
    <w:rsid w:val="009F7ED8"/>
    <w:rsid w:val="00A01D6E"/>
    <w:rsid w:val="00A20935"/>
    <w:rsid w:val="00A27321"/>
    <w:rsid w:val="00A30CF3"/>
    <w:rsid w:val="00A358A9"/>
    <w:rsid w:val="00A4001E"/>
    <w:rsid w:val="00A42CCE"/>
    <w:rsid w:val="00A449F2"/>
    <w:rsid w:val="00A52229"/>
    <w:rsid w:val="00A55C51"/>
    <w:rsid w:val="00A6426C"/>
    <w:rsid w:val="00A717ED"/>
    <w:rsid w:val="00A77BF7"/>
    <w:rsid w:val="00A80231"/>
    <w:rsid w:val="00A81C67"/>
    <w:rsid w:val="00A82638"/>
    <w:rsid w:val="00A86614"/>
    <w:rsid w:val="00A91F7F"/>
    <w:rsid w:val="00A93984"/>
    <w:rsid w:val="00A94F17"/>
    <w:rsid w:val="00AA0604"/>
    <w:rsid w:val="00AA59F8"/>
    <w:rsid w:val="00AA6ACC"/>
    <w:rsid w:val="00AB4AC1"/>
    <w:rsid w:val="00AC0F3B"/>
    <w:rsid w:val="00AC26DE"/>
    <w:rsid w:val="00AC3704"/>
    <w:rsid w:val="00AD1B15"/>
    <w:rsid w:val="00AE0762"/>
    <w:rsid w:val="00AF17C1"/>
    <w:rsid w:val="00AF5367"/>
    <w:rsid w:val="00AF7C26"/>
    <w:rsid w:val="00B0157D"/>
    <w:rsid w:val="00B13835"/>
    <w:rsid w:val="00B233AE"/>
    <w:rsid w:val="00B23835"/>
    <w:rsid w:val="00B251A8"/>
    <w:rsid w:val="00B3115D"/>
    <w:rsid w:val="00B34F9D"/>
    <w:rsid w:val="00B3559D"/>
    <w:rsid w:val="00B44F1B"/>
    <w:rsid w:val="00B5696F"/>
    <w:rsid w:val="00B60661"/>
    <w:rsid w:val="00B71860"/>
    <w:rsid w:val="00B75DB7"/>
    <w:rsid w:val="00B80C1D"/>
    <w:rsid w:val="00B90984"/>
    <w:rsid w:val="00B94279"/>
    <w:rsid w:val="00B97784"/>
    <w:rsid w:val="00BA0735"/>
    <w:rsid w:val="00BB0223"/>
    <w:rsid w:val="00BB21EC"/>
    <w:rsid w:val="00BB47D9"/>
    <w:rsid w:val="00BD16AF"/>
    <w:rsid w:val="00BD1D3C"/>
    <w:rsid w:val="00BE400F"/>
    <w:rsid w:val="00BE58C6"/>
    <w:rsid w:val="00BE7EFE"/>
    <w:rsid w:val="00BF130A"/>
    <w:rsid w:val="00BF1D3C"/>
    <w:rsid w:val="00C02014"/>
    <w:rsid w:val="00C02DDF"/>
    <w:rsid w:val="00C03D96"/>
    <w:rsid w:val="00C054F1"/>
    <w:rsid w:val="00C1152B"/>
    <w:rsid w:val="00C14933"/>
    <w:rsid w:val="00C1542D"/>
    <w:rsid w:val="00C1628E"/>
    <w:rsid w:val="00C17141"/>
    <w:rsid w:val="00C17B4F"/>
    <w:rsid w:val="00C25C07"/>
    <w:rsid w:val="00C27D0C"/>
    <w:rsid w:val="00C35217"/>
    <w:rsid w:val="00C40760"/>
    <w:rsid w:val="00C417F3"/>
    <w:rsid w:val="00C418F0"/>
    <w:rsid w:val="00C41D3E"/>
    <w:rsid w:val="00C42A1B"/>
    <w:rsid w:val="00C42C7B"/>
    <w:rsid w:val="00C46277"/>
    <w:rsid w:val="00C508FF"/>
    <w:rsid w:val="00C51315"/>
    <w:rsid w:val="00C54045"/>
    <w:rsid w:val="00C55D4C"/>
    <w:rsid w:val="00C60EBF"/>
    <w:rsid w:val="00C664D2"/>
    <w:rsid w:val="00C67E41"/>
    <w:rsid w:val="00C724E2"/>
    <w:rsid w:val="00C803DA"/>
    <w:rsid w:val="00C820CD"/>
    <w:rsid w:val="00C9120F"/>
    <w:rsid w:val="00C96346"/>
    <w:rsid w:val="00CB0C34"/>
    <w:rsid w:val="00CB7BB1"/>
    <w:rsid w:val="00CC39F4"/>
    <w:rsid w:val="00CD1CFC"/>
    <w:rsid w:val="00CD4E75"/>
    <w:rsid w:val="00CD50F4"/>
    <w:rsid w:val="00CF14DB"/>
    <w:rsid w:val="00CF3344"/>
    <w:rsid w:val="00CF34D5"/>
    <w:rsid w:val="00CF651D"/>
    <w:rsid w:val="00D10DD0"/>
    <w:rsid w:val="00D24BE8"/>
    <w:rsid w:val="00D25073"/>
    <w:rsid w:val="00D2703D"/>
    <w:rsid w:val="00D41BAC"/>
    <w:rsid w:val="00D46D93"/>
    <w:rsid w:val="00D56E93"/>
    <w:rsid w:val="00D6341B"/>
    <w:rsid w:val="00D64F6B"/>
    <w:rsid w:val="00D65371"/>
    <w:rsid w:val="00D700C8"/>
    <w:rsid w:val="00D733AA"/>
    <w:rsid w:val="00D74030"/>
    <w:rsid w:val="00D7471A"/>
    <w:rsid w:val="00D83EE9"/>
    <w:rsid w:val="00D84956"/>
    <w:rsid w:val="00D93A73"/>
    <w:rsid w:val="00DA0C06"/>
    <w:rsid w:val="00DA1FBD"/>
    <w:rsid w:val="00DA4576"/>
    <w:rsid w:val="00DA4AE4"/>
    <w:rsid w:val="00DA6024"/>
    <w:rsid w:val="00DB4EDC"/>
    <w:rsid w:val="00DC4E8A"/>
    <w:rsid w:val="00DC6513"/>
    <w:rsid w:val="00DD02CA"/>
    <w:rsid w:val="00DD433D"/>
    <w:rsid w:val="00DE17C0"/>
    <w:rsid w:val="00DF122F"/>
    <w:rsid w:val="00DF262F"/>
    <w:rsid w:val="00DF3509"/>
    <w:rsid w:val="00DF79EE"/>
    <w:rsid w:val="00E02321"/>
    <w:rsid w:val="00E15C32"/>
    <w:rsid w:val="00E16D9A"/>
    <w:rsid w:val="00E17399"/>
    <w:rsid w:val="00E1763D"/>
    <w:rsid w:val="00E252E2"/>
    <w:rsid w:val="00E3256A"/>
    <w:rsid w:val="00E363E8"/>
    <w:rsid w:val="00E40FA3"/>
    <w:rsid w:val="00E5422B"/>
    <w:rsid w:val="00E5462A"/>
    <w:rsid w:val="00E57D04"/>
    <w:rsid w:val="00E600CC"/>
    <w:rsid w:val="00E63395"/>
    <w:rsid w:val="00E670BE"/>
    <w:rsid w:val="00E905D4"/>
    <w:rsid w:val="00E9600F"/>
    <w:rsid w:val="00EA02D3"/>
    <w:rsid w:val="00EA6539"/>
    <w:rsid w:val="00EB1D04"/>
    <w:rsid w:val="00EB1FEB"/>
    <w:rsid w:val="00EB24CC"/>
    <w:rsid w:val="00EB4CE2"/>
    <w:rsid w:val="00EC1229"/>
    <w:rsid w:val="00EC5CC7"/>
    <w:rsid w:val="00ED45F4"/>
    <w:rsid w:val="00EE32FE"/>
    <w:rsid w:val="00EE3DEC"/>
    <w:rsid w:val="00EE6278"/>
    <w:rsid w:val="00EF23A2"/>
    <w:rsid w:val="00EF469C"/>
    <w:rsid w:val="00EF78AA"/>
    <w:rsid w:val="00F033C8"/>
    <w:rsid w:val="00F119EF"/>
    <w:rsid w:val="00F20144"/>
    <w:rsid w:val="00F24C17"/>
    <w:rsid w:val="00F40DAB"/>
    <w:rsid w:val="00F4177A"/>
    <w:rsid w:val="00F41926"/>
    <w:rsid w:val="00F447C9"/>
    <w:rsid w:val="00F46BEB"/>
    <w:rsid w:val="00F471AB"/>
    <w:rsid w:val="00F50617"/>
    <w:rsid w:val="00F50745"/>
    <w:rsid w:val="00F568DD"/>
    <w:rsid w:val="00F63247"/>
    <w:rsid w:val="00F63EA5"/>
    <w:rsid w:val="00F66FC2"/>
    <w:rsid w:val="00F670D1"/>
    <w:rsid w:val="00F744D7"/>
    <w:rsid w:val="00F74720"/>
    <w:rsid w:val="00F74B5D"/>
    <w:rsid w:val="00F812FC"/>
    <w:rsid w:val="00F820E4"/>
    <w:rsid w:val="00F82123"/>
    <w:rsid w:val="00F84D83"/>
    <w:rsid w:val="00F9462D"/>
    <w:rsid w:val="00F959D5"/>
    <w:rsid w:val="00FB2C9C"/>
    <w:rsid w:val="00FB3D26"/>
    <w:rsid w:val="00FB41AB"/>
    <w:rsid w:val="00FC4B6D"/>
    <w:rsid w:val="00FE15A5"/>
    <w:rsid w:val="00FE75EE"/>
    <w:rsid w:val="00FF4863"/>
    <w:rsid w:val="00FF546C"/>
    <w:rsid w:val="00FF56DD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4261C"/>
  <w15:chartTrackingRefBased/>
  <w15:docId w15:val="{F457F5A3-4B2F-8B43-B379-6F31E353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E4"/>
    <w:pPr>
      <w:spacing w:after="240"/>
    </w:pPr>
    <w:rPr>
      <w:rFonts w:asciiTheme="minorHAnsi" w:eastAsiaTheme="minorHAnsi" w:hAnsiTheme="minorHAnsi" w:cstheme="minorBidi"/>
      <w:color w:val="0D0D0D" w:themeColor="text1" w:themeTint="F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DA4AE4"/>
    <w:rPr>
      <w:color w:val="1F4E79" w:themeColor="accent5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F17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List Paragraph2,Bulit List -  Paragraph,Main numbered paragraph,Numbered List Paragraph,bullet 1,Recommendation,L,List Paragraph111,F5 List Paragraph,Dot pt,CV text,Numbered Paragraph,Bulleted Para,列 出 段 落"/>
    <w:basedOn w:val="Normal"/>
    <w:link w:val="ListParagraphChar"/>
    <w:uiPriority w:val="34"/>
    <w:qFormat/>
    <w:rsid w:val="00C1542D"/>
    <w:pPr>
      <w:numPr>
        <w:numId w:val="10"/>
      </w:numPr>
    </w:pPr>
  </w:style>
  <w:style w:type="character" w:customStyle="1" w:styleId="ListParagraphChar">
    <w:name w:val="List Paragraph Char"/>
    <w:aliases w:val="List Paragraph1 Char,List Paragraph11 Char,List Paragraph2 Char,Bulit List -  Paragraph Char,Main numbered paragraph Char,Numbered List Paragraph Char,bullet 1 Char,Recommendation Char,L Char,List Paragraph111 Char,Dot pt Char"/>
    <w:basedOn w:val="DefaultParagraphFont"/>
    <w:link w:val="ListParagraph"/>
    <w:uiPriority w:val="34"/>
    <w:qFormat/>
    <w:rsid w:val="00C1542D"/>
    <w:rPr>
      <w:rFonts w:asciiTheme="minorHAnsi" w:eastAsiaTheme="minorHAnsi" w:hAnsiTheme="minorHAnsi" w:cstheme="minorBidi"/>
      <w:color w:val="0D0D0D" w:themeColor="text1" w:themeTint="F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42D"/>
    <w:rPr>
      <w:rFonts w:asciiTheme="minorHAnsi" w:eastAsiaTheme="minorHAnsi" w:hAnsiTheme="minorHAnsi" w:cstheme="minorBidi"/>
      <w:color w:val="0D0D0D" w:themeColor="text1" w:themeTint="F2"/>
      <w:lang w:eastAsia="en-US"/>
    </w:rPr>
  </w:style>
  <w:style w:type="paragraph" w:styleId="ListBullet">
    <w:name w:val="List Bullet"/>
    <w:basedOn w:val="BodyText"/>
    <w:qFormat/>
    <w:rsid w:val="00C1542D"/>
    <w:pPr>
      <w:numPr>
        <w:numId w:val="23"/>
      </w:numPr>
      <w:tabs>
        <w:tab w:val="left" w:pos="284"/>
        <w:tab w:val="num" w:pos="360"/>
      </w:tabs>
      <w:spacing w:line="280" w:lineRule="exact"/>
      <w:ind w:left="363" w:hanging="363"/>
    </w:pPr>
    <w:rPr>
      <w:rFonts w:ascii="Franklin Gothic Book" w:eastAsia="Times New Roman" w:hAnsi="Franklin Gothic Book" w:cs="Times New Roman"/>
      <w:color w:val="44546A" w:themeColor="text2"/>
      <w:sz w:val="21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154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42D"/>
    <w:rPr>
      <w:rFonts w:asciiTheme="minorHAnsi" w:eastAsiaTheme="minorHAnsi" w:hAnsiTheme="minorHAnsi" w:cstheme="minorBidi"/>
      <w:color w:val="0D0D0D" w:themeColor="text1" w:themeTint="F2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7F8"/>
    <w:rPr>
      <w:rFonts w:asciiTheme="minorHAnsi" w:eastAsiaTheme="minorHAnsi" w:hAnsiTheme="minorHAnsi" w:cstheme="minorBidi"/>
      <w:b/>
      <w:bCs/>
      <w:color w:val="0D0D0D" w:themeColor="text1" w:themeTint="F2"/>
      <w:lang w:eastAsia="en-US"/>
    </w:rPr>
  </w:style>
  <w:style w:type="paragraph" w:styleId="Revision">
    <w:name w:val="Revision"/>
    <w:hidden/>
    <w:uiPriority w:val="99"/>
    <w:semiHidden/>
    <w:rsid w:val="00423637"/>
    <w:rPr>
      <w:rFonts w:asciiTheme="minorHAnsi" w:eastAsiaTheme="minorHAnsi" w:hAnsiTheme="minorHAnsi" w:cstheme="minorBidi"/>
      <w:color w:val="0D0D0D" w:themeColor="text1" w:themeTint="F2"/>
      <w:sz w:val="22"/>
      <w:szCs w:val="22"/>
      <w:lang w:eastAsia="en-US"/>
    </w:rPr>
  </w:style>
  <w:style w:type="paragraph" w:customStyle="1" w:styleId="Bullet1">
    <w:name w:val="Bullet 1"/>
    <w:basedOn w:val="Normal"/>
    <w:qFormat/>
    <w:rsid w:val="00B97784"/>
    <w:pPr>
      <w:numPr>
        <w:numId w:val="45"/>
      </w:numPr>
      <w:suppressAutoHyphens/>
      <w:spacing w:after="60" w:line="260" w:lineRule="atLeast"/>
    </w:pPr>
    <w:rPr>
      <w:color w:val="44546A" w:themeColor="text2"/>
      <w:lang w:val="en-GB"/>
    </w:rPr>
  </w:style>
  <w:style w:type="paragraph" w:customStyle="1" w:styleId="Bullet2">
    <w:name w:val="Bullet 2"/>
    <w:basedOn w:val="Bullet1"/>
    <w:qFormat/>
    <w:rsid w:val="00B97784"/>
    <w:pPr>
      <w:numPr>
        <w:ilvl w:val="1"/>
      </w:numPr>
    </w:pPr>
  </w:style>
  <w:style w:type="paragraph" w:customStyle="1" w:styleId="Bullet3">
    <w:name w:val="Bullet 3"/>
    <w:basedOn w:val="Bullet2"/>
    <w:qFormat/>
    <w:rsid w:val="00B97784"/>
    <w:pPr>
      <w:numPr>
        <w:ilvl w:val="2"/>
      </w:numPr>
    </w:pPr>
  </w:style>
  <w:style w:type="numbering" w:customStyle="1" w:styleId="BulletsList">
    <w:name w:val="Bullets List"/>
    <w:uiPriority w:val="99"/>
    <w:rsid w:val="00B97784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6066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DC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DC1"/>
    <w:rPr>
      <w:rFonts w:asciiTheme="minorHAnsi" w:eastAsiaTheme="minorHAnsi" w:hAnsiTheme="minorHAnsi" w:cstheme="minorBidi"/>
      <w:color w:val="0D0D0D" w:themeColor="text1" w:themeTint="F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6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at.gov.au/publications/development/gender-equality-disability-and-social-inclusion-analysis-good-practice-not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dfat.gov.au/publications/publications/australias-international-disability-equity-and-rights-strategy-advancing-equity-transform-liv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DSI.GEB@dfat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at.gov.au/about-us/publications/international-development-programming-guid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id4all.com.au/resources/dfat-2025-reasonable-accommodation-in-development-programs-good-practice-not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e.oecd.org/document/DCD/DAC/STAT/RD(2025)1/en/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f945acbb-4a4d-44b1-a5ea-e3720f82891e" xsi:nil="true"/>
    <lcf76f155ced4ddcb4097134ff3c332f xmlns="f945acbb-4a4d-44b1-a5ea-e3720f82891e">
      <Terms xmlns="http://schemas.microsoft.com/office/infopath/2007/PartnerControls"/>
    </lcf76f155ced4ddcb4097134ff3c332f>
    <TaxCatchAll xmlns="4171f854-f482-4227-add5-188c3bba07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81EAA971264B833FC7D690D55BC9" ma:contentTypeVersion="19" ma:contentTypeDescription="Create a new document." ma:contentTypeScope="" ma:versionID="354fd38da6312bb99ab3365e7b71d828">
  <xsd:schema xmlns:xsd="http://www.w3.org/2001/XMLSchema" xmlns:xs="http://www.w3.org/2001/XMLSchema" xmlns:p="http://schemas.microsoft.com/office/2006/metadata/properties" xmlns:ns2="f945acbb-4a4d-44b1-a5ea-e3720f82891e" xmlns:ns3="4171f854-f482-4227-add5-188c3bba07ce" xmlns:ns4="16e17ea9-0362-424b-a5af-43ea99604c86" targetNamespace="http://schemas.microsoft.com/office/2006/metadata/properties" ma:root="true" ma:fieldsID="abe046912bb350f7e3d2b07e3067bcfc" ns2:_="" ns3:_="" ns4:_="">
    <xsd:import namespace="f945acbb-4a4d-44b1-a5ea-e3720f82891e"/>
    <xsd:import namespace="4171f854-f482-4227-add5-188c3bba07ce"/>
    <xsd:import namespace="16e17ea9-0362-424b-a5af-43ea99604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acbb-4a4d-44b1-a5ea-e3720f828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10ed43-752e-496d-a116-25d27cb06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status" ma:index="26" nillable="true" ma:displayName="review status" ma:description="to assign review classification: priority doc&#10;low priority or in review, marked up etc" ma:format="Dropdown" ma:internalName="review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f854-f482-4227-add5-188c3bba07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33b801c-4f54-4eb0-8659-9c5c723e6db7}" ma:internalName="TaxCatchAll" ma:showField="CatchAllData" ma:web="4171f854-f482-4227-add5-188c3bba0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7ea9-0362-424b-a5af-43ea9960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118E1-1616-4C79-AF15-48A659CB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D4874-CF03-4A2C-91C5-F66BD39EE1DE}">
  <ds:schemaRefs>
    <ds:schemaRef ds:uri="http://purl.org/dc/elements/1.1/"/>
    <ds:schemaRef ds:uri="f945acbb-4a4d-44b1-a5ea-e3720f82891e"/>
    <ds:schemaRef ds:uri="http://www.w3.org/XML/1998/namespace"/>
    <ds:schemaRef ds:uri="http://schemas.microsoft.com/office/2006/documentManagement/types"/>
    <ds:schemaRef ds:uri="16e17ea9-0362-424b-a5af-43ea99604c86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171f854-f482-4227-add5-188c3bba07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27C9C0-3D24-4C1C-9EF3-C2215B3C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5acbb-4a4d-44b1-a5ea-e3720f82891e"/>
    <ds:schemaRef ds:uri="4171f854-f482-4227-add5-188c3bba07ce"/>
    <ds:schemaRef ds:uri="16e17ea9-0362-424b-a5af-43ea99604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2013</Words>
  <Characters>13151</Characters>
  <Application>Microsoft Office Word</Application>
  <DocSecurity>0</DocSecurity>
  <Lines>210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>[SEC=OFFICIAL]</cp:keywords>
  <dc:description/>
  <cp:lastModifiedBy>Robyne Leven</cp:lastModifiedBy>
  <cp:revision>35</cp:revision>
  <cp:lastPrinted>2025-07-01T04:06:00Z</cp:lastPrinted>
  <dcterms:created xsi:type="dcterms:W3CDTF">2025-06-30T23:53:00Z</dcterms:created>
  <dcterms:modified xsi:type="dcterms:W3CDTF">2025-07-01T04:06:00Z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1B6D3199ED32408F4289C201931C4938075C33F4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E6F797FDF03C7A5191EC40EF2DF391F1</vt:lpwstr>
  </property>
  <property fmtid="{D5CDD505-2E9C-101B-9397-08002B2CF9AE}" pid="20" name="PM_Hash_Salt">
    <vt:lpwstr>3F405EE793C65622BBB2124D0C12D1D2</vt:lpwstr>
  </property>
  <property fmtid="{D5CDD505-2E9C-101B-9397-08002B2CF9AE}" pid="21" name="PM_Hash_SHA1">
    <vt:lpwstr>BD8B6A02703A53B5CB090EFCB0935C9043E12BB8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9C09609018ECD258FC9D24733BB92E600F2E5C1E88ABEE743494CFCBA708913F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ContentTypeId">
    <vt:lpwstr>0x010100663F81EAA971264B833FC7D690D55BC9</vt:lpwstr>
  </property>
  <property fmtid="{D5CDD505-2E9C-101B-9397-08002B2CF9AE}" pid="29" name="PMHMAC">
    <vt:lpwstr>v=2022.1;a=SHA256;h=FEF7EC35175C3B300E1E65A33CA11FA95D31B5AFBDB8F0A0280AFB342B0294A2</vt:lpwstr>
  </property>
</Properties>
</file>